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7971" w14:textId="77777777" w:rsidR="00495CDF" w:rsidRPr="00495CDF" w:rsidRDefault="00495CDF" w:rsidP="00495CDF">
      <w:pPr>
        <w:pStyle w:val="Default"/>
        <w:jc w:val="center"/>
        <w:rPr>
          <w:color w:val="225B4E"/>
          <w:sz w:val="22"/>
          <w:szCs w:val="22"/>
        </w:rPr>
      </w:pPr>
      <w:r w:rsidRPr="00495CDF">
        <w:rPr>
          <w:b/>
          <w:bCs/>
          <w:color w:val="225B4E"/>
          <w:sz w:val="22"/>
          <w:szCs w:val="22"/>
        </w:rPr>
        <w:t>PUBLICADA EN LA GACETA OFICIAL DE LA CIUDAD DE MÉXICO</w:t>
      </w:r>
    </w:p>
    <w:p w14:paraId="24459043" w14:textId="77777777" w:rsidR="00495CDF" w:rsidRPr="00495CDF" w:rsidRDefault="00495CDF" w:rsidP="00495CDF">
      <w:pPr>
        <w:pStyle w:val="Default"/>
        <w:jc w:val="center"/>
        <w:rPr>
          <w:b/>
          <w:bCs/>
          <w:color w:val="225B4E"/>
          <w:sz w:val="22"/>
          <w:szCs w:val="22"/>
        </w:rPr>
      </w:pPr>
      <w:r w:rsidRPr="00495CDF">
        <w:rPr>
          <w:b/>
          <w:bCs/>
          <w:color w:val="225B4E"/>
          <w:sz w:val="22"/>
          <w:szCs w:val="22"/>
        </w:rPr>
        <w:t>EL 26 DE OCTUBRE DE 2023</w:t>
      </w:r>
    </w:p>
    <w:p w14:paraId="1BBC1443" w14:textId="77777777" w:rsidR="00495CDF" w:rsidRPr="00495CDF" w:rsidRDefault="00495CDF" w:rsidP="00495CDF">
      <w:pPr>
        <w:pStyle w:val="Default"/>
        <w:jc w:val="center"/>
        <w:rPr>
          <w:sz w:val="22"/>
          <w:szCs w:val="22"/>
        </w:rPr>
      </w:pPr>
    </w:p>
    <w:p w14:paraId="1962117A" w14:textId="77777777" w:rsidR="00495CDF" w:rsidRPr="00495CDF" w:rsidRDefault="00495CDF" w:rsidP="00495CDF">
      <w:pPr>
        <w:jc w:val="center"/>
        <w:rPr>
          <w:rFonts w:ascii="Source Sans Pro" w:hAnsi="Source Sans Pro"/>
          <w:b/>
          <w:bCs/>
        </w:rPr>
      </w:pPr>
      <w:r w:rsidRPr="00495CDF">
        <w:rPr>
          <w:rFonts w:ascii="Source Sans Pro" w:hAnsi="Source Sans Pro"/>
          <w:b/>
          <w:bCs/>
        </w:rPr>
        <w:t>TEXTO VIGENTE</w:t>
      </w:r>
    </w:p>
    <w:p w14:paraId="5823C574" w14:textId="77777777" w:rsidR="00C72400" w:rsidRPr="00495CDF" w:rsidRDefault="00C72400" w:rsidP="00495CDF">
      <w:pPr>
        <w:jc w:val="center"/>
        <w:rPr>
          <w:rFonts w:ascii="Source Sans Pro" w:hAnsi="Source Sans Pro"/>
          <w:sz w:val="20"/>
          <w:szCs w:val="20"/>
        </w:rPr>
      </w:pPr>
    </w:p>
    <w:p w14:paraId="17689774" w14:textId="26931B0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REGLAMENTO DE</w:t>
      </w:r>
      <w:r w:rsidR="009116E4">
        <w:rPr>
          <w:rFonts w:ascii="Source Sans Pro" w:eastAsia="Times New Roman" w:hAnsi="Source Sans Pro"/>
          <w:b/>
          <w:sz w:val="20"/>
          <w:szCs w:val="20"/>
          <w:lang w:eastAsia="es-MX"/>
        </w:rPr>
        <w:t xml:space="preserve"> LA LEY DE</w:t>
      </w:r>
      <w:r w:rsidRPr="00495CDF">
        <w:rPr>
          <w:rFonts w:ascii="Source Sans Pro" w:eastAsia="Times New Roman" w:hAnsi="Source Sans Pro"/>
          <w:b/>
          <w:sz w:val="20"/>
          <w:szCs w:val="20"/>
          <w:lang w:eastAsia="es-MX"/>
        </w:rPr>
        <w:t xml:space="preserve"> ECONOMÍA CIRCULAR DE LA CIUDAD DE MÉXICO</w:t>
      </w:r>
    </w:p>
    <w:p w14:paraId="2286E9CD" w14:textId="77777777" w:rsidR="00495CDF" w:rsidRPr="00495CDF" w:rsidRDefault="00495CDF" w:rsidP="00495CDF">
      <w:pPr>
        <w:contextualSpacing/>
        <w:jc w:val="center"/>
        <w:rPr>
          <w:rFonts w:ascii="Source Sans Pro" w:eastAsia="Times New Roman" w:hAnsi="Source Sans Pro"/>
          <w:b/>
          <w:sz w:val="20"/>
          <w:szCs w:val="20"/>
          <w:lang w:eastAsia="es-MX"/>
        </w:rPr>
      </w:pPr>
    </w:p>
    <w:p w14:paraId="2CC41AD7"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TÍTULO PRIMERO</w:t>
      </w:r>
    </w:p>
    <w:p w14:paraId="7A467AE0"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DISPOSICIONES GENERALES</w:t>
      </w:r>
    </w:p>
    <w:p w14:paraId="7CE4DC3B" w14:textId="77777777" w:rsidR="00495CDF" w:rsidRPr="00495CDF" w:rsidRDefault="00495CDF" w:rsidP="00495CDF">
      <w:pPr>
        <w:contextualSpacing/>
        <w:jc w:val="center"/>
        <w:rPr>
          <w:rFonts w:ascii="Source Sans Pro" w:eastAsia="Times New Roman" w:hAnsi="Source Sans Pro"/>
          <w:b/>
          <w:sz w:val="20"/>
          <w:szCs w:val="20"/>
          <w:lang w:eastAsia="es-MX"/>
        </w:rPr>
      </w:pPr>
    </w:p>
    <w:p w14:paraId="72E1C32F"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Capítulo único</w:t>
      </w:r>
    </w:p>
    <w:p w14:paraId="5A09D6BC"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Objeto y conceptos</w:t>
      </w:r>
    </w:p>
    <w:p w14:paraId="467FE375" w14:textId="77777777" w:rsidR="00495CDF" w:rsidRPr="00495CDF" w:rsidRDefault="00495CDF" w:rsidP="00495CDF">
      <w:pPr>
        <w:contextualSpacing/>
        <w:jc w:val="both"/>
        <w:rPr>
          <w:rFonts w:ascii="Source Sans Pro" w:eastAsia="Times New Roman" w:hAnsi="Source Sans Pro"/>
          <w:b/>
          <w:sz w:val="20"/>
          <w:szCs w:val="20"/>
          <w:lang w:eastAsia="es-MX"/>
        </w:rPr>
      </w:pPr>
    </w:p>
    <w:p w14:paraId="3345CE54"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1.-</w:t>
      </w:r>
      <w:r w:rsidRPr="00495CDF">
        <w:rPr>
          <w:rFonts w:ascii="Source Sans Pro" w:eastAsia="Times New Roman" w:hAnsi="Source Sans Pro"/>
          <w:sz w:val="20"/>
          <w:szCs w:val="20"/>
          <w:lang w:eastAsia="es-MX"/>
        </w:rPr>
        <w:t xml:space="preserve"> El presente ordenamiento es de orden público y observancia general, y tiene por objeto reglamentar las disposiciones establecidas en la Ley de Economía Circular de la Ciudad de México.</w:t>
      </w:r>
    </w:p>
    <w:p w14:paraId="180949A7" w14:textId="77777777" w:rsidR="00495CDF" w:rsidRPr="00495CDF" w:rsidRDefault="00495CDF" w:rsidP="00495CDF">
      <w:pPr>
        <w:contextualSpacing/>
        <w:jc w:val="both"/>
        <w:rPr>
          <w:rFonts w:ascii="Source Sans Pro" w:eastAsia="Times New Roman" w:hAnsi="Source Sans Pro"/>
          <w:sz w:val="20"/>
          <w:szCs w:val="20"/>
          <w:lang w:eastAsia="es-MX"/>
        </w:rPr>
      </w:pPr>
    </w:p>
    <w:p w14:paraId="375B5D0A"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El presente reglamento es aplicable a las </w:t>
      </w:r>
      <w:proofErr w:type="spellStart"/>
      <w:r w:rsidRPr="00495CDF">
        <w:rPr>
          <w:rFonts w:ascii="Source Sans Pro" w:eastAsia="Times New Roman" w:hAnsi="Source Sans Pro"/>
          <w:sz w:val="20"/>
          <w:szCs w:val="20"/>
          <w:lang w:eastAsia="es-MX"/>
        </w:rPr>
        <w:t>MIPyMES</w:t>
      </w:r>
      <w:proofErr w:type="spellEnd"/>
      <w:r w:rsidRPr="00495CDF">
        <w:rPr>
          <w:rFonts w:ascii="Source Sans Pro" w:eastAsia="Times New Roman" w:hAnsi="Source Sans Pro"/>
          <w:sz w:val="20"/>
          <w:szCs w:val="20"/>
          <w:lang w:eastAsia="es-MX"/>
        </w:rPr>
        <w:t xml:space="preserve"> y grandes empresas, que estén interesadas y participen en los procesos establecidos en la Ley de Economía Circular de la Ciudad de México, así como para las autoridades competentes en materia de economía circular, señaladas en la Ley y en el presente Reglamento.</w:t>
      </w:r>
    </w:p>
    <w:p w14:paraId="470D2C83" w14:textId="77777777" w:rsidR="00495CDF" w:rsidRPr="00495CDF" w:rsidRDefault="00495CDF" w:rsidP="00495CDF">
      <w:pPr>
        <w:contextualSpacing/>
        <w:jc w:val="both"/>
        <w:rPr>
          <w:rFonts w:ascii="Source Sans Pro" w:eastAsia="Times New Roman" w:hAnsi="Source Sans Pro"/>
          <w:sz w:val="20"/>
          <w:szCs w:val="20"/>
          <w:lang w:eastAsia="es-MX"/>
        </w:rPr>
      </w:pPr>
    </w:p>
    <w:p w14:paraId="5F717C4C"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2.-</w:t>
      </w:r>
      <w:r w:rsidRPr="00495CDF">
        <w:rPr>
          <w:rFonts w:ascii="Source Sans Pro" w:eastAsia="Times New Roman" w:hAnsi="Source Sans Pro"/>
          <w:sz w:val="20"/>
          <w:szCs w:val="20"/>
          <w:lang w:eastAsia="es-MX"/>
        </w:rPr>
        <w:t xml:space="preserve"> Además de las definiciones contenidas en la Ley de Economía Circular de la Ciudad de México, para efectos de este reglamento se entiende por:</w:t>
      </w:r>
    </w:p>
    <w:p w14:paraId="1FBA603B" w14:textId="77777777" w:rsidR="00495CDF" w:rsidRPr="00495CDF" w:rsidRDefault="00495CDF" w:rsidP="00495CDF">
      <w:pPr>
        <w:contextualSpacing/>
        <w:jc w:val="both"/>
        <w:rPr>
          <w:rFonts w:ascii="Source Sans Pro" w:eastAsia="Times New Roman" w:hAnsi="Source Sans Pro"/>
          <w:sz w:val="20"/>
          <w:szCs w:val="20"/>
          <w:lang w:eastAsia="es-MX"/>
        </w:rPr>
      </w:pPr>
    </w:p>
    <w:p w14:paraId="4C0A6B22" w14:textId="64731996" w:rsidR="00495CDF" w:rsidRPr="00495CDF" w:rsidRDefault="00495CDF" w:rsidP="00495CDF">
      <w:pPr>
        <w:pStyle w:val="Prrafodelista"/>
        <w:numPr>
          <w:ilvl w:val="0"/>
          <w:numId w:val="1"/>
        </w:num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Comité: </w:t>
      </w:r>
      <w:r w:rsidRPr="00495CDF">
        <w:rPr>
          <w:rFonts w:ascii="Source Sans Pro" w:eastAsia="Times New Roman" w:hAnsi="Source Sans Pro"/>
          <w:sz w:val="20"/>
          <w:szCs w:val="20"/>
          <w:lang w:eastAsia="es-MX"/>
        </w:rPr>
        <w:t>Comité Interinstitucional de Evaluación de Circularidad.</w:t>
      </w:r>
    </w:p>
    <w:p w14:paraId="46BCDDEE" w14:textId="77777777" w:rsidR="00495CDF" w:rsidRPr="00495CDF" w:rsidRDefault="00495CDF" w:rsidP="00495CDF">
      <w:pPr>
        <w:contextualSpacing/>
        <w:jc w:val="both"/>
        <w:rPr>
          <w:rFonts w:ascii="Source Sans Pro" w:eastAsia="Times New Roman" w:hAnsi="Source Sans Pro"/>
          <w:b/>
          <w:sz w:val="20"/>
          <w:szCs w:val="20"/>
          <w:lang w:eastAsia="es-MX"/>
        </w:rPr>
      </w:pPr>
    </w:p>
    <w:p w14:paraId="569AC07C" w14:textId="1C0DB671" w:rsidR="00495CDF" w:rsidRPr="00495CDF" w:rsidRDefault="00495CDF" w:rsidP="00495CDF">
      <w:pPr>
        <w:pStyle w:val="Prrafodelista"/>
        <w:numPr>
          <w:ilvl w:val="0"/>
          <w:numId w:val="1"/>
        </w:num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Distintivo:</w:t>
      </w:r>
      <w:r w:rsidRPr="00495CDF">
        <w:rPr>
          <w:rFonts w:ascii="Source Sans Pro" w:eastAsia="Times New Roman" w:hAnsi="Source Sans Pro"/>
          <w:sz w:val="20"/>
          <w:szCs w:val="20"/>
          <w:lang w:eastAsia="es-MX"/>
        </w:rPr>
        <w:t xml:space="preserve"> Distintivo de Circularidad.</w:t>
      </w:r>
    </w:p>
    <w:p w14:paraId="09D74AC3" w14:textId="77777777" w:rsidR="00495CDF" w:rsidRPr="00495CDF" w:rsidRDefault="00495CDF" w:rsidP="00495CDF">
      <w:pPr>
        <w:contextualSpacing/>
        <w:jc w:val="both"/>
        <w:rPr>
          <w:rFonts w:ascii="Source Sans Pro" w:eastAsia="Times New Roman" w:hAnsi="Source Sans Pro"/>
          <w:sz w:val="20"/>
          <w:szCs w:val="20"/>
          <w:lang w:eastAsia="es-MX"/>
        </w:rPr>
      </w:pPr>
    </w:p>
    <w:p w14:paraId="235BDC08" w14:textId="3693265A" w:rsidR="00495CDF" w:rsidRPr="00495CDF" w:rsidRDefault="00495CDF" w:rsidP="00495CDF">
      <w:pPr>
        <w:pStyle w:val="Prrafodelista"/>
        <w:numPr>
          <w:ilvl w:val="0"/>
          <w:numId w:val="1"/>
        </w:num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Ley:</w:t>
      </w:r>
      <w:r w:rsidRPr="00495CDF">
        <w:rPr>
          <w:rFonts w:ascii="Source Sans Pro" w:eastAsia="Times New Roman" w:hAnsi="Source Sans Pro"/>
          <w:sz w:val="20"/>
          <w:szCs w:val="20"/>
          <w:lang w:eastAsia="es-MX"/>
        </w:rPr>
        <w:t xml:space="preserve"> Ley de Economía Circular de la Ciudad de México.</w:t>
      </w:r>
    </w:p>
    <w:p w14:paraId="1614D36F" w14:textId="77777777" w:rsidR="00495CDF" w:rsidRPr="00495CDF" w:rsidRDefault="00495CDF" w:rsidP="00495CDF">
      <w:pPr>
        <w:contextualSpacing/>
        <w:jc w:val="both"/>
        <w:rPr>
          <w:rFonts w:ascii="Source Sans Pro" w:eastAsia="Times New Roman" w:hAnsi="Source Sans Pro"/>
          <w:sz w:val="20"/>
          <w:szCs w:val="20"/>
          <w:lang w:eastAsia="es-MX"/>
        </w:rPr>
      </w:pPr>
    </w:p>
    <w:p w14:paraId="38000977" w14:textId="48AB9312" w:rsidR="00495CDF" w:rsidRPr="00495CDF" w:rsidRDefault="00495CDF" w:rsidP="00495CDF">
      <w:pPr>
        <w:pStyle w:val="Prrafodelista"/>
        <w:numPr>
          <w:ilvl w:val="0"/>
          <w:numId w:val="1"/>
        </w:num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Lineamientos:</w:t>
      </w:r>
      <w:r w:rsidRPr="00495CDF">
        <w:rPr>
          <w:rFonts w:ascii="Source Sans Pro" w:eastAsia="Times New Roman" w:hAnsi="Source Sans Pro"/>
          <w:sz w:val="20"/>
          <w:szCs w:val="20"/>
          <w:lang w:eastAsia="es-MX"/>
        </w:rPr>
        <w:t xml:space="preserve"> Lineamientos sobre la Evaluación de Circularidad.</w:t>
      </w:r>
    </w:p>
    <w:p w14:paraId="7477E049" w14:textId="77777777" w:rsidR="00495CDF" w:rsidRPr="00495CDF" w:rsidRDefault="00495CDF" w:rsidP="00495CDF">
      <w:pPr>
        <w:contextualSpacing/>
        <w:jc w:val="both"/>
        <w:rPr>
          <w:rFonts w:ascii="Source Sans Pro" w:eastAsia="Times New Roman" w:hAnsi="Source Sans Pro"/>
          <w:b/>
          <w:sz w:val="20"/>
          <w:szCs w:val="20"/>
          <w:lang w:eastAsia="es-MX"/>
        </w:rPr>
      </w:pPr>
    </w:p>
    <w:p w14:paraId="35E44A5B" w14:textId="0B39FEA3" w:rsidR="00495CDF" w:rsidRPr="00495CDF" w:rsidRDefault="00495CDF" w:rsidP="00495CDF">
      <w:pPr>
        <w:pStyle w:val="Prrafodelista"/>
        <w:numPr>
          <w:ilvl w:val="0"/>
          <w:numId w:val="1"/>
        </w:num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Manifiesto de Circularidad</w:t>
      </w:r>
      <w:r w:rsidRPr="00495CDF">
        <w:rPr>
          <w:rFonts w:ascii="Source Sans Pro" w:eastAsia="Times New Roman" w:hAnsi="Source Sans Pro"/>
          <w:sz w:val="20"/>
          <w:szCs w:val="20"/>
          <w:lang w:eastAsia="es-MX"/>
        </w:rPr>
        <w:t>: documento elaborado y presentado por las empresas interesadas en someter a la evaluación de circularidad de manera voluntaria los procesos, productos y/o servicios, que desarrollan, distribuyen o comercializan en el territorio de la Ciudad de México.</w:t>
      </w:r>
    </w:p>
    <w:p w14:paraId="12054606" w14:textId="77777777" w:rsidR="00495CDF" w:rsidRPr="00495CDF" w:rsidRDefault="00495CDF" w:rsidP="00495CDF">
      <w:pPr>
        <w:contextualSpacing/>
        <w:jc w:val="both"/>
        <w:rPr>
          <w:rFonts w:ascii="Source Sans Pro" w:eastAsia="Times New Roman" w:hAnsi="Source Sans Pro"/>
          <w:sz w:val="20"/>
          <w:szCs w:val="20"/>
          <w:lang w:eastAsia="es-MX"/>
        </w:rPr>
      </w:pPr>
    </w:p>
    <w:p w14:paraId="6F5C1A29" w14:textId="77A2B0D5" w:rsidR="00495CDF" w:rsidRPr="00495CDF" w:rsidRDefault="00495CDF" w:rsidP="00495CDF">
      <w:pPr>
        <w:pStyle w:val="Prrafodelista"/>
        <w:numPr>
          <w:ilvl w:val="0"/>
          <w:numId w:val="1"/>
        </w:num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Programa: </w:t>
      </w:r>
      <w:r w:rsidRPr="00495CDF">
        <w:rPr>
          <w:rFonts w:ascii="Source Sans Pro" w:eastAsia="Times New Roman" w:hAnsi="Source Sans Pro"/>
          <w:sz w:val="20"/>
          <w:szCs w:val="20"/>
          <w:lang w:eastAsia="es-MX"/>
        </w:rPr>
        <w:t>Programa de Economía Circular de la Ciudad de México.</w:t>
      </w:r>
    </w:p>
    <w:p w14:paraId="3B6489C3" w14:textId="77777777" w:rsidR="00495CDF" w:rsidRPr="00495CDF" w:rsidRDefault="00495CDF" w:rsidP="00495CDF">
      <w:pPr>
        <w:contextualSpacing/>
        <w:jc w:val="both"/>
        <w:rPr>
          <w:rFonts w:ascii="Source Sans Pro" w:eastAsia="Times New Roman" w:hAnsi="Source Sans Pro"/>
          <w:sz w:val="20"/>
          <w:szCs w:val="20"/>
          <w:lang w:eastAsia="es-MX"/>
        </w:rPr>
      </w:pPr>
    </w:p>
    <w:p w14:paraId="1B05C2DA" w14:textId="2EA36A25" w:rsidR="00495CDF" w:rsidRPr="00495CDF" w:rsidRDefault="00495CDF" w:rsidP="00495CDF">
      <w:pPr>
        <w:pStyle w:val="Prrafodelista"/>
        <w:numPr>
          <w:ilvl w:val="0"/>
          <w:numId w:val="1"/>
        </w:num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Red:</w:t>
      </w:r>
      <w:r w:rsidRPr="00495CDF">
        <w:rPr>
          <w:rFonts w:ascii="Source Sans Pro" w:eastAsia="Times New Roman" w:hAnsi="Source Sans Pro"/>
          <w:sz w:val="20"/>
          <w:szCs w:val="20"/>
          <w:lang w:eastAsia="es-MX"/>
        </w:rPr>
        <w:t xml:space="preserve"> Red de Economía Circular de la Ciudad de México.</w:t>
      </w:r>
    </w:p>
    <w:p w14:paraId="4710E3D6" w14:textId="77777777" w:rsidR="00495CDF" w:rsidRPr="00495CDF" w:rsidRDefault="00495CDF" w:rsidP="00495CDF">
      <w:pPr>
        <w:contextualSpacing/>
        <w:jc w:val="both"/>
        <w:rPr>
          <w:rFonts w:ascii="Source Sans Pro" w:eastAsia="Times New Roman" w:hAnsi="Source Sans Pro"/>
          <w:sz w:val="20"/>
          <w:szCs w:val="20"/>
          <w:lang w:eastAsia="es-MX"/>
        </w:rPr>
      </w:pPr>
    </w:p>
    <w:p w14:paraId="6E015CE2"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3.- </w:t>
      </w:r>
      <w:r w:rsidRPr="00495CDF">
        <w:rPr>
          <w:rFonts w:ascii="Source Sans Pro" w:eastAsia="Times New Roman" w:hAnsi="Source Sans Pro"/>
          <w:sz w:val="20"/>
          <w:szCs w:val="20"/>
          <w:lang w:eastAsia="es-MX"/>
        </w:rPr>
        <w:t>En concordancia con las atribuciones establecidas en la Ley, corresponde a la Secretaría del Medio Ambiente:</w:t>
      </w:r>
    </w:p>
    <w:p w14:paraId="455549A1" w14:textId="77777777" w:rsidR="00495CDF" w:rsidRPr="00495CDF" w:rsidRDefault="00495CDF" w:rsidP="00495CDF">
      <w:pPr>
        <w:contextualSpacing/>
        <w:jc w:val="both"/>
        <w:rPr>
          <w:rFonts w:ascii="Source Sans Pro" w:eastAsia="Times New Roman" w:hAnsi="Source Sans Pro"/>
          <w:sz w:val="20"/>
          <w:szCs w:val="20"/>
          <w:lang w:eastAsia="es-MX"/>
        </w:rPr>
      </w:pPr>
    </w:p>
    <w:p w14:paraId="73F68552" w14:textId="79D19FE0"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Promover y fomentar la observancia de los principios y enfoques de diseño de economía </w:t>
      </w:r>
      <w:proofErr w:type="gramStart"/>
      <w:r w:rsidRPr="00495CDF">
        <w:rPr>
          <w:rFonts w:ascii="Source Sans Pro" w:eastAsia="Times New Roman" w:hAnsi="Source Sans Pro"/>
          <w:sz w:val="20"/>
          <w:szCs w:val="20"/>
          <w:lang w:eastAsia="es-MX"/>
        </w:rPr>
        <w:t>circular</w:t>
      </w:r>
      <w:proofErr w:type="gramEnd"/>
      <w:r w:rsidRPr="00495CDF">
        <w:rPr>
          <w:rFonts w:ascii="Source Sans Pro" w:eastAsia="Times New Roman" w:hAnsi="Source Sans Pro"/>
          <w:sz w:val="20"/>
          <w:szCs w:val="20"/>
          <w:lang w:eastAsia="es-MX"/>
        </w:rPr>
        <w:t xml:space="preserve"> así como el cumplimiento de los Lineamientos;</w:t>
      </w:r>
    </w:p>
    <w:p w14:paraId="536580D7" w14:textId="77777777" w:rsidR="00495CDF" w:rsidRPr="00495CDF" w:rsidRDefault="00495CDF" w:rsidP="00495CDF">
      <w:pPr>
        <w:contextualSpacing/>
        <w:jc w:val="both"/>
        <w:rPr>
          <w:rFonts w:ascii="Source Sans Pro" w:eastAsia="Times New Roman" w:hAnsi="Source Sans Pro"/>
          <w:sz w:val="20"/>
          <w:szCs w:val="20"/>
          <w:lang w:eastAsia="es-MX"/>
        </w:rPr>
      </w:pPr>
    </w:p>
    <w:p w14:paraId="780CA13A" w14:textId="0F95AEF6"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Elaborar el Programa de Economía Circular, en coordinación con la Secretaría de Desarrollo Económico, la Secretaría del Trabajo y Fomento al Empleo y la Secretaría de Educación, Ciencia, Tecnología e Innovación, incorporando los principios de economía </w:t>
      </w:r>
      <w:proofErr w:type="gramStart"/>
      <w:r w:rsidRPr="00495CDF">
        <w:rPr>
          <w:rFonts w:ascii="Source Sans Pro" w:eastAsia="Times New Roman" w:hAnsi="Source Sans Pro"/>
          <w:sz w:val="20"/>
          <w:szCs w:val="20"/>
          <w:lang w:eastAsia="es-MX"/>
        </w:rPr>
        <w:t>circular</w:t>
      </w:r>
      <w:proofErr w:type="gramEnd"/>
      <w:r w:rsidRPr="00495CDF">
        <w:rPr>
          <w:rFonts w:ascii="Source Sans Pro" w:eastAsia="Times New Roman" w:hAnsi="Source Sans Pro"/>
          <w:sz w:val="20"/>
          <w:szCs w:val="20"/>
          <w:lang w:eastAsia="es-MX"/>
        </w:rPr>
        <w:t xml:space="preserve"> así como enfoques de diseño establecidos en la Ley y considerando las opiniones de otras dependencias en función de sus competencias.</w:t>
      </w:r>
    </w:p>
    <w:p w14:paraId="17922835" w14:textId="77777777" w:rsidR="00495CDF" w:rsidRPr="00495CDF" w:rsidRDefault="00495CDF" w:rsidP="00495CDF">
      <w:pPr>
        <w:contextualSpacing/>
        <w:jc w:val="both"/>
        <w:rPr>
          <w:rFonts w:ascii="Source Sans Pro" w:eastAsia="Times New Roman" w:hAnsi="Source Sans Pro"/>
          <w:sz w:val="20"/>
          <w:szCs w:val="20"/>
          <w:lang w:eastAsia="es-MX"/>
        </w:rPr>
      </w:pPr>
    </w:p>
    <w:p w14:paraId="5D1D2FBA" w14:textId="28F31583"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Coordinar la Evaluación de Circularidad y emitir las resoluciones administrativas u opiniones correspondientes para el cumplimiento del presente ordenamiento; </w:t>
      </w:r>
    </w:p>
    <w:p w14:paraId="43BCCE6F" w14:textId="77777777" w:rsidR="00495CDF" w:rsidRPr="00495CDF" w:rsidRDefault="00495CDF" w:rsidP="00495CDF">
      <w:pPr>
        <w:contextualSpacing/>
        <w:jc w:val="both"/>
        <w:rPr>
          <w:rFonts w:ascii="Source Sans Pro" w:eastAsia="Times New Roman" w:hAnsi="Source Sans Pro"/>
          <w:sz w:val="20"/>
          <w:szCs w:val="20"/>
          <w:lang w:eastAsia="es-MX"/>
        </w:rPr>
      </w:pPr>
    </w:p>
    <w:p w14:paraId="3D484653" w14:textId="743B8A08"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Promover la participación de empresas interesadas para someter a la evaluación de circularidad de manera voluntaria los procesos, productos y/o servicios que desarrollan, distribuyen o comercializan en el territorio de la Ciudad de México, en términos de este Reglamento y demás normativa aplicable; </w:t>
      </w:r>
    </w:p>
    <w:p w14:paraId="18BEBB5E" w14:textId="77777777" w:rsidR="00495CDF" w:rsidRPr="00495CDF" w:rsidRDefault="00495CDF" w:rsidP="00495CDF">
      <w:pPr>
        <w:contextualSpacing/>
        <w:jc w:val="both"/>
        <w:rPr>
          <w:rFonts w:ascii="Source Sans Pro" w:eastAsia="Times New Roman" w:hAnsi="Source Sans Pro"/>
          <w:sz w:val="20"/>
          <w:szCs w:val="20"/>
          <w:lang w:eastAsia="es-MX"/>
        </w:rPr>
      </w:pPr>
      <w:bookmarkStart w:id="0" w:name="_heading=h.gjdgxs" w:colFirst="0" w:colLast="0"/>
      <w:bookmarkEnd w:id="0"/>
    </w:p>
    <w:p w14:paraId="52DC8F79" w14:textId="77777777" w:rsid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Validar el cumplimiento de lo establecido en el Manifiesto de Circularidad presentado por las empresas interesadas;</w:t>
      </w:r>
    </w:p>
    <w:p w14:paraId="72790054" w14:textId="77777777" w:rsidR="00495CDF" w:rsidRPr="00495CDF" w:rsidRDefault="00495CDF" w:rsidP="00495CDF">
      <w:pPr>
        <w:pStyle w:val="Prrafodelista"/>
        <w:rPr>
          <w:rFonts w:ascii="Source Sans Pro" w:eastAsia="Times New Roman" w:hAnsi="Source Sans Pro"/>
          <w:b/>
          <w:sz w:val="20"/>
          <w:szCs w:val="20"/>
          <w:lang w:eastAsia="es-MX"/>
        </w:rPr>
      </w:pPr>
    </w:p>
    <w:p w14:paraId="304C2662" w14:textId="65DAC020"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Otorgar la autorización para el uso del Distintivo en sus diferentes niveles según corresponda a los resultados obtenidos por las empresas en su Evaluación de Circularidad; </w:t>
      </w:r>
    </w:p>
    <w:p w14:paraId="74695CAF" w14:textId="77777777" w:rsidR="00495CDF" w:rsidRPr="00495CDF" w:rsidRDefault="00495CDF" w:rsidP="00495CDF">
      <w:pPr>
        <w:contextualSpacing/>
        <w:jc w:val="both"/>
        <w:rPr>
          <w:rFonts w:ascii="Source Sans Pro" w:eastAsia="Times New Roman" w:hAnsi="Source Sans Pro"/>
          <w:sz w:val="20"/>
          <w:szCs w:val="20"/>
          <w:lang w:eastAsia="es-MX"/>
        </w:rPr>
      </w:pPr>
    </w:p>
    <w:p w14:paraId="091592AC" w14:textId="12414A79"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En coordinación con la Secretaría de Desarrollo Económico, formular y proponer para aprobación del Comité, los Lineamientos y los mecanismos requeridos para que las empresas voluntariamente sometan sus procesos, productos y/o servicios a la Evaluación de Circularidad, así como llevar a cabo actividades de difusión y orientación en la materia; </w:t>
      </w:r>
    </w:p>
    <w:p w14:paraId="1BA895F2" w14:textId="77777777" w:rsidR="00495CDF" w:rsidRPr="00495CDF" w:rsidRDefault="00495CDF" w:rsidP="00495CDF">
      <w:pPr>
        <w:contextualSpacing/>
        <w:jc w:val="both"/>
        <w:rPr>
          <w:rFonts w:ascii="Source Sans Pro" w:eastAsia="Times New Roman" w:hAnsi="Source Sans Pro"/>
          <w:sz w:val="20"/>
          <w:szCs w:val="20"/>
          <w:lang w:eastAsia="es-MX"/>
        </w:rPr>
      </w:pPr>
    </w:p>
    <w:p w14:paraId="2D8D2701" w14:textId="6B19BC33"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Promover la celebración de acuerdos de coordinación con la Federación, Estados y Municipios, y convenios de concertación con el sector privado y social, con el propósito de que la Evaluación de Circularidad sea accesible a las empresas interesadas; </w:t>
      </w:r>
    </w:p>
    <w:p w14:paraId="1B1E0CC9" w14:textId="77777777" w:rsidR="00495CDF" w:rsidRPr="00495CDF" w:rsidRDefault="00495CDF" w:rsidP="00495CDF">
      <w:pPr>
        <w:contextualSpacing/>
        <w:jc w:val="both"/>
        <w:rPr>
          <w:rFonts w:ascii="Source Sans Pro" w:eastAsia="Times New Roman" w:hAnsi="Source Sans Pro"/>
          <w:sz w:val="20"/>
          <w:szCs w:val="20"/>
          <w:lang w:eastAsia="es-MX"/>
        </w:rPr>
      </w:pPr>
    </w:p>
    <w:p w14:paraId="6ADD3011" w14:textId="7516E679"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Proponer incentivos fiscales y estímulos, de acuerdo con lo establecido en la normatividad aplicable, atendiendo a los niveles de cumplimiento obtenidos en la Evaluación de Circularidad que se establezcan para tal efecto;</w:t>
      </w:r>
    </w:p>
    <w:p w14:paraId="4289ED18" w14:textId="77777777" w:rsidR="00495CDF" w:rsidRPr="00495CDF" w:rsidRDefault="00495CDF" w:rsidP="00495CDF">
      <w:pPr>
        <w:contextualSpacing/>
        <w:jc w:val="both"/>
        <w:rPr>
          <w:rFonts w:ascii="Source Sans Pro" w:eastAsia="Times New Roman" w:hAnsi="Source Sans Pro"/>
          <w:sz w:val="20"/>
          <w:szCs w:val="20"/>
          <w:lang w:eastAsia="es-MX"/>
        </w:rPr>
      </w:pPr>
    </w:p>
    <w:p w14:paraId="4059815E" w14:textId="1C1D58AB"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Otorgar y revocar los registros y autorizaciones para el uso del Distintivo previsto en el presente ordenamiento a las empresas, en términos del Reglamento y los Lineamientos, asimismo prorrogar, suspender o cancelar los procedimientos de la presentación del Manifiesto de Circularidad y la Evaluación de Circularidad;</w:t>
      </w:r>
    </w:p>
    <w:p w14:paraId="44C4D036" w14:textId="77777777" w:rsidR="00495CDF" w:rsidRPr="00495CDF" w:rsidRDefault="00495CDF" w:rsidP="00495CDF">
      <w:pPr>
        <w:contextualSpacing/>
        <w:jc w:val="both"/>
        <w:rPr>
          <w:rFonts w:ascii="Source Sans Pro" w:eastAsia="Times New Roman" w:hAnsi="Source Sans Pro"/>
          <w:sz w:val="20"/>
          <w:szCs w:val="20"/>
          <w:lang w:eastAsia="es-MX"/>
        </w:rPr>
      </w:pPr>
    </w:p>
    <w:p w14:paraId="4D747205" w14:textId="47C48AA0"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Aplicar y observar el cumplimiento de las disposiciones y términos de este ordenamiento, así como a la observancia de las resoluciones administrativas y dictámenes conforme a los preceptos establecidos en el presente Reglamento; y </w:t>
      </w:r>
    </w:p>
    <w:p w14:paraId="074711D2" w14:textId="77777777" w:rsidR="00495CDF" w:rsidRPr="00495CDF" w:rsidRDefault="00495CDF" w:rsidP="00495CDF">
      <w:pPr>
        <w:contextualSpacing/>
        <w:jc w:val="both"/>
        <w:rPr>
          <w:rFonts w:ascii="Source Sans Pro" w:eastAsia="Times New Roman" w:hAnsi="Source Sans Pro"/>
          <w:sz w:val="20"/>
          <w:szCs w:val="20"/>
          <w:lang w:eastAsia="es-MX"/>
        </w:rPr>
      </w:pPr>
    </w:p>
    <w:p w14:paraId="4C835D43" w14:textId="393FD3FA" w:rsidR="00495CDF" w:rsidRPr="00495CDF" w:rsidRDefault="00495CDF" w:rsidP="00495CDF">
      <w:pPr>
        <w:pStyle w:val="Prrafodelista"/>
        <w:numPr>
          <w:ilvl w:val="0"/>
          <w:numId w:val="4"/>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 demás normativa aplicable a la materia.</w:t>
      </w:r>
    </w:p>
    <w:p w14:paraId="669DA11D" w14:textId="77777777" w:rsidR="00495CDF" w:rsidRPr="00495CDF" w:rsidRDefault="00495CDF" w:rsidP="00495CDF">
      <w:pPr>
        <w:contextualSpacing/>
        <w:jc w:val="both"/>
        <w:rPr>
          <w:rFonts w:ascii="Source Sans Pro" w:eastAsia="Times New Roman" w:hAnsi="Source Sans Pro"/>
          <w:sz w:val="20"/>
          <w:szCs w:val="20"/>
          <w:lang w:eastAsia="es-MX"/>
        </w:rPr>
      </w:pPr>
    </w:p>
    <w:p w14:paraId="483AC434"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4.-</w:t>
      </w:r>
      <w:r w:rsidRPr="00495CDF">
        <w:rPr>
          <w:rFonts w:ascii="Source Sans Pro" w:eastAsia="Times New Roman" w:hAnsi="Source Sans Pro"/>
          <w:sz w:val="20"/>
          <w:szCs w:val="20"/>
          <w:lang w:eastAsia="es-MX"/>
        </w:rPr>
        <w:t xml:space="preserve"> Además de las atribuciones establecidas en la Ley, la Secretaría de Desarrollo Económico, la Secretaría de Educación, Ciencia, Tecnología e Innovación, la Secretaría de Trabajo y Fomento al Empleo y las dependencias que integren el Comité, tendrán las siguientes atribuciones:</w:t>
      </w:r>
    </w:p>
    <w:p w14:paraId="1185E399" w14:textId="77777777" w:rsidR="00495CDF" w:rsidRPr="00495CDF" w:rsidRDefault="00495CDF" w:rsidP="00495CDF">
      <w:pPr>
        <w:contextualSpacing/>
        <w:jc w:val="both"/>
        <w:rPr>
          <w:rFonts w:ascii="Source Sans Pro" w:eastAsia="Times New Roman" w:hAnsi="Source Sans Pro"/>
          <w:sz w:val="20"/>
          <w:szCs w:val="20"/>
          <w:lang w:eastAsia="es-MX"/>
        </w:rPr>
      </w:pPr>
    </w:p>
    <w:p w14:paraId="58791CDA" w14:textId="47758C97" w:rsidR="00495CDF" w:rsidRPr="00495CDF" w:rsidRDefault="00495CDF" w:rsidP="00495CDF">
      <w:pPr>
        <w:pStyle w:val="Prrafodelista"/>
        <w:numPr>
          <w:ilvl w:val="0"/>
          <w:numId w:val="5"/>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Emitir su opinión correspondiente y participar dentro del procedimiento de Evaluación de Circularidad, en términos del presente Reglamento y los Lineamientos; y</w:t>
      </w:r>
    </w:p>
    <w:p w14:paraId="3954C0D8" w14:textId="77777777" w:rsidR="00495CDF" w:rsidRPr="00495CDF" w:rsidRDefault="00495CDF" w:rsidP="00495CDF">
      <w:pPr>
        <w:contextualSpacing/>
        <w:jc w:val="both"/>
        <w:rPr>
          <w:rFonts w:ascii="Source Sans Pro" w:eastAsia="Times New Roman" w:hAnsi="Source Sans Pro"/>
          <w:sz w:val="20"/>
          <w:szCs w:val="20"/>
          <w:lang w:eastAsia="es-MX"/>
        </w:rPr>
      </w:pPr>
    </w:p>
    <w:p w14:paraId="0376FCA8" w14:textId="590F81D4" w:rsidR="00495CDF" w:rsidRPr="00495CDF" w:rsidRDefault="00495CDF" w:rsidP="00495CDF">
      <w:pPr>
        <w:pStyle w:val="Prrafodelista"/>
        <w:numPr>
          <w:ilvl w:val="0"/>
          <w:numId w:val="5"/>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Participar en la revisión y aprobación de los Lineamientos.</w:t>
      </w:r>
    </w:p>
    <w:p w14:paraId="0C005BBD" w14:textId="77777777" w:rsidR="00495CDF" w:rsidRDefault="00495CDF" w:rsidP="00495CDF">
      <w:pPr>
        <w:contextualSpacing/>
        <w:rPr>
          <w:rFonts w:ascii="Source Sans Pro" w:eastAsia="Times New Roman" w:hAnsi="Source Sans Pro"/>
          <w:sz w:val="20"/>
          <w:szCs w:val="20"/>
          <w:lang w:eastAsia="es-MX"/>
        </w:rPr>
      </w:pPr>
    </w:p>
    <w:p w14:paraId="6AED9F3B" w14:textId="77777777" w:rsidR="00495CDF" w:rsidRDefault="00495CDF" w:rsidP="00495CDF">
      <w:pPr>
        <w:contextualSpacing/>
        <w:jc w:val="center"/>
        <w:rPr>
          <w:rFonts w:ascii="Source Sans Pro" w:eastAsia="Times New Roman" w:hAnsi="Source Sans Pro"/>
          <w:b/>
          <w:sz w:val="20"/>
          <w:szCs w:val="20"/>
          <w:lang w:eastAsia="es-MX"/>
        </w:rPr>
      </w:pPr>
    </w:p>
    <w:p w14:paraId="2ECEAC32" w14:textId="77777777" w:rsidR="00495CDF" w:rsidRDefault="00495CDF" w:rsidP="00495CDF">
      <w:pPr>
        <w:contextualSpacing/>
        <w:jc w:val="center"/>
        <w:rPr>
          <w:rFonts w:ascii="Source Sans Pro" w:eastAsia="Times New Roman" w:hAnsi="Source Sans Pro"/>
          <w:b/>
          <w:sz w:val="20"/>
          <w:szCs w:val="20"/>
          <w:lang w:eastAsia="es-MX"/>
        </w:rPr>
      </w:pPr>
    </w:p>
    <w:p w14:paraId="0BCBF621" w14:textId="77777777" w:rsidR="00495CDF" w:rsidRDefault="00495CDF" w:rsidP="00495CDF">
      <w:pPr>
        <w:contextualSpacing/>
        <w:jc w:val="center"/>
        <w:rPr>
          <w:rFonts w:ascii="Source Sans Pro" w:eastAsia="Times New Roman" w:hAnsi="Source Sans Pro"/>
          <w:b/>
          <w:sz w:val="20"/>
          <w:szCs w:val="20"/>
          <w:lang w:eastAsia="es-MX"/>
        </w:rPr>
      </w:pPr>
    </w:p>
    <w:p w14:paraId="2D74D390" w14:textId="4D1723F9"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lastRenderedPageBreak/>
        <w:t>TÍTULO SEGUNDO</w:t>
      </w:r>
    </w:p>
    <w:p w14:paraId="0B22A845" w14:textId="77777777" w:rsid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 xml:space="preserve">BASES, REQUISITOS, FORMALIDADES, PROCEDIMIENTOS Y </w:t>
      </w:r>
    </w:p>
    <w:p w14:paraId="75E4F8E7" w14:textId="099DF091"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MECANISMOS PARA LA EVALUACIÓN DE CIRCULARIDAD</w:t>
      </w:r>
    </w:p>
    <w:p w14:paraId="6C2D9B98" w14:textId="77777777" w:rsidR="00495CDF" w:rsidRPr="00495CDF" w:rsidRDefault="00495CDF" w:rsidP="00495CDF">
      <w:pPr>
        <w:contextualSpacing/>
        <w:jc w:val="both"/>
        <w:rPr>
          <w:rFonts w:ascii="Source Sans Pro" w:eastAsia="Times New Roman" w:hAnsi="Source Sans Pro"/>
          <w:b/>
          <w:sz w:val="20"/>
          <w:szCs w:val="20"/>
          <w:lang w:eastAsia="es-MX"/>
        </w:rPr>
      </w:pPr>
    </w:p>
    <w:p w14:paraId="2CB702CB"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Capítulo primero</w:t>
      </w:r>
    </w:p>
    <w:p w14:paraId="03F2E0DE"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Evaluación de Circularidad</w:t>
      </w:r>
    </w:p>
    <w:p w14:paraId="17A96431" w14:textId="77777777" w:rsidR="00495CDF" w:rsidRPr="00495CDF" w:rsidRDefault="00495CDF" w:rsidP="00495CDF">
      <w:pPr>
        <w:contextualSpacing/>
        <w:jc w:val="center"/>
        <w:rPr>
          <w:rFonts w:ascii="Source Sans Pro" w:eastAsia="Times New Roman" w:hAnsi="Source Sans Pro"/>
          <w:b/>
          <w:sz w:val="20"/>
          <w:szCs w:val="20"/>
          <w:lang w:eastAsia="es-MX"/>
        </w:rPr>
      </w:pPr>
    </w:p>
    <w:p w14:paraId="58756079"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w:t>
      </w:r>
    </w:p>
    <w:p w14:paraId="2A02F666"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Coordinación Interinstitucional para la Evaluación de Circularidad</w:t>
      </w:r>
    </w:p>
    <w:p w14:paraId="4EB364DF" w14:textId="77777777" w:rsidR="00495CDF" w:rsidRPr="00495CDF" w:rsidRDefault="00495CDF" w:rsidP="00495CDF">
      <w:pPr>
        <w:contextualSpacing/>
        <w:jc w:val="both"/>
        <w:rPr>
          <w:rFonts w:ascii="Source Sans Pro" w:eastAsia="Times New Roman" w:hAnsi="Source Sans Pro"/>
          <w:b/>
          <w:sz w:val="20"/>
          <w:szCs w:val="20"/>
          <w:lang w:eastAsia="es-MX"/>
        </w:rPr>
      </w:pPr>
    </w:p>
    <w:p w14:paraId="5331933B"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5.-</w:t>
      </w:r>
      <w:r w:rsidRPr="00495CDF">
        <w:rPr>
          <w:rFonts w:ascii="Source Sans Pro" w:eastAsia="Times New Roman" w:hAnsi="Source Sans Pro"/>
          <w:sz w:val="20"/>
          <w:szCs w:val="20"/>
          <w:lang w:eastAsia="es-MX"/>
        </w:rPr>
        <w:t xml:space="preserve"> Las evaluaciones se llevarán a cabo a través del órgano colegiado denominado Comité Interinstitucional de Evaluación de Circularidad, el cual es un órgano interinstitucional de coordinación, monitoreo y seguimiento para implementar la Evaluación de Circularidad, y la emisión y autorización para el uso del Distintivo en sus distintos niveles, sin perjuicio de las atribuciones que le corresponden a cada dependencia o entidad en el marco de la Ley.</w:t>
      </w:r>
    </w:p>
    <w:p w14:paraId="2FEA1E91" w14:textId="77777777" w:rsidR="00495CDF" w:rsidRPr="00495CDF" w:rsidRDefault="00495CDF" w:rsidP="00495CDF">
      <w:pPr>
        <w:contextualSpacing/>
        <w:jc w:val="both"/>
        <w:rPr>
          <w:rFonts w:ascii="Source Sans Pro" w:eastAsia="Times New Roman" w:hAnsi="Source Sans Pro"/>
          <w:sz w:val="20"/>
          <w:szCs w:val="20"/>
          <w:lang w:eastAsia="es-MX"/>
        </w:rPr>
      </w:pPr>
    </w:p>
    <w:p w14:paraId="43A37C3D"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6.- </w:t>
      </w:r>
      <w:r w:rsidRPr="00495CDF">
        <w:rPr>
          <w:rFonts w:ascii="Source Sans Pro" w:eastAsia="Times New Roman" w:hAnsi="Source Sans Pro"/>
          <w:sz w:val="20"/>
          <w:szCs w:val="20"/>
          <w:lang w:eastAsia="es-MX"/>
        </w:rPr>
        <w:t>El Comité estará integrado por las personas titulares de las siguientes dependencias:</w:t>
      </w:r>
    </w:p>
    <w:p w14:paraId="71E208A6" w14:textId="77777777" w:rsidR="00495CDF" w:rsidRPr="00495CDF" w:rsidRDefault="00495CDF" w:rsidP="00495CDF">
      <w:pPr>
        <w:contextualSpacing/>
        <w:jc w:val="both"/>
        <w:rPr>
          <w:rFonts w:ascii="Source Sans Pro" w:eastAsia="Times New Roman" w:hAnsi="Source Sans Pro"/>
          <w:sz w:val="20"/>
          <w:szCs w:val="20"/>
          <w:lang w:eastAsia="es-MX"/>
        </w:rPr>
      </w:pPr>
    </w:p>
    <w:p w14:paraId="0772B601" w14:textId="31CD51A9" w:rsidR="00495CDF" w:rsidRPr="00495CDF" w:rsidRDefault="00495CDF" w:rsidP="00495CDF">
      <w:pPr>
        <w:pStyle w:val="Prrafodelista"/>
        <w:numPr>
          <w:ilvl w:val="0"/>
          <w:numId w:val="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 Secretaría del Medio Ambiente, quien lo presidirá;</w:t>
      </w:r>
    </w:p>
    <w:p w14:paraId="56BCF4D7" w14:textId="77777777" w:rsidR="00495CDF" w:rsidRPr="00495CDF" w:rsidRDefault="00495CDF" w:rsidP="00495CDF">
      <w:pPr>
        <w:contextualSpacing/>
        <w:jc w:val="both"/>
        <w:rPr>
          <w:rFonts w:ascii="Source Sans Pro" w:eastAsia="Times New Roman" w:hAnsi="Source Sans Pro"/>
          <w:sz w:val="20"/>
          <w:szCs w:val="20"/>
          <w:lang w:eastAsia="es-MX"/>
        </w:rPr>
      </w:pPr>
    </w:p>
    <w:p w14:paraId="2A09C9F4" w14:textId="3E044009" w:rsidR="00495CDF" w:rsidRPr="00495CDF" w:rsidRDefault="00495CDF" w:rsidP="00495CDF">
      <w:pPr>
        <w:pStyle w:val="Prrafodelista"/>
        <w:numPr>
          <w:ilvl w:val="0"/>
          <w:numId w:val="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 Secretaría de Desarrollo Económico;</w:t>
      </w:r>
    </w:p>
    <w:p w14:paraId="5495540E" w14:textId="77777777" w:rsidR="00495CDF" w:rsidRPr="00495CDF" w:rsidRDefault="00495CDF" w:rsidP="00495CDF">
      <w:pPr>
        <w:contextualSpacing/>
        <w:jc w:val="both"/>
        <w:rPr>
          <w:rFonts w:ascii="Source Sans Pro" w:eastAsia="Times New Roman" w:hAnsi="Source Sans Pro"/>
          <w:sz w:val="20"/>
          <w:szCs w:val="20"/>
          <w:lang w:eastAsia="es-MX"/>
        </w:rPr>
      </w:pPr>
    </w:p>
    <w:p w14:paraId="7FC682AF" w14:textId="14D10424" w:rsidR="00495CDF" w:rsidRPr="00495CDF" w:rsidRDefault="00495CDF" w:rsidP="00495CDF">
      <w:pPr>
        <w:pStyle w:val="Prrafodelista"/>
        <w:numPr>
          <w:ilvl w:val="0"/>
          <w:numId w:val="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 Secretaría de Trabajo y Fomento al Empleo;</w:t>
      </w:r>
    </w:p>
    <w:p w14:paraId="7D907F76" w14:textId="77777777" w:rsidR="00495CDF" w:rsidRPr="00495CDF" w:rsidRDefault="00495CDF" w:rsidP="00495CDF">
      <w:pPr>
        <w:contextualSpacing/>
        <w:jc w:val="both"/>
        <w:rPr>
          <w:rFonts w:ascii="Source Sans Pro" w:eastAsia="Times New Roman" w:hAnsi="Source Sans Pro"/>
          <w:sz w:val="20"/>
          <w:szCs w:val="20"/>
          <w:lang w:eastAsia="es-MX"/>
        </w:rPr>
      </w:pPr>
    </w:p>
    <w:p w14:paraId="2B76D6DE" w14:textId="0A075061" w:rsidR="00495CDF" w:rsidRPr="00495CDF" w:rsidRDefault="00495CDF" w:rsidP="00495CDF">
      <w:pPr>
        <w:pStyle w:val="Prrafodelista"/>
        <w:numPr>
          <w:ilvl w:val="0"/>
          <w:numId w:val="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 Secretaría de Educación, Ciencia, Tecnología e Innovación; y</w:t>
      </w:r>
    </w:p>
    <w:p w14:paraId="2BFC4B7B" w14:textId="77777777" w:rsidR="00495CDF" w:rsidRDefault="00495CDF" w:rsidP="00495CDF">
      <w:pPr>
        <w:contextualSpacing/>
        <w:jc w:val="both"/>
        <w:rPr>
          <w:rFonts w:ascii="Source Sans Pro" w:eastAsia="Times New Roman" w:hAnsi="Source Sans Pro"/>
          <w:sz w:val="20"/>
          <w:szCs w:val="20"/>
          <w:lang w:eastAsia="es-MX"/>
        </w:rPr>
      </w:pPr>
    </w:p>
    <w:p w14:paraId="091DC603" w14:textId="160CDA56" w:rsidR="00495CDF" w:rsidRPr="00495CDF" w:rsidRDefault="00495CDF" w:rsidP="00495CDF">
      <w:pPr>
        <w:pStyle w:val="Prrafodelista"/>
        <w:numPr>
          <w:ilvl w:val="0"/>
          <w:numId w:val="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 Secretaría de Movilidad.</w:t>
      </w:r>
    </w:p>
    <w:p w14:paraId="56421FE1" w14:textId="77777777" w:rsidR="00495CDF" w:rsidRPr="00495CDF" w:rsidRDefault="00495CDF" w:rsidP="00495CDF">
      <w:pPr>
        <w:contextualSpacing/>
        <w:jc w:val="both"/>
        <w:rPr>
          <w:rFonts w:ascii="Source Sans Pro" w:eastAsia="Times New Roman" w:hAnsi="Source Sans Pro"/>
          <w:sz w:val="20"/>
          <w:szCs w:val="20"/>
          <w:lang w:eastAsia="es-MX"/>
        </w:rPr>
      </w:pPr>
    </w:p>
    <w:p w14:paraId="41CDDCD2"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7.</w:t>
      </w:r>
      <w:r w:rsidRPr="00495CDF">
        <w:rPr>
          <w:rFonts w:ascii="Source Sans Pro" w:eastAsia="Times New Roman" w:hAnsi="Source Sans Pro"/>
          <w:sz w:val="20"/>
          <w:szCs w:val="20"/>
          <w:lang w:eastAsia="es-MX"/>
        </w:rPr>
        <w:t xml:space="preserve"> El Comité podrá invitar a las sesiones a otras dependencias, órganos desconcentrados y demás entidades que tengan competencia en las materias relacionadas con la Evaluación de Circularidad.</w:t>
      </w:r>
    </w:p>
    <w:p w14:paraId="119D3537" w14:textId="77777777" w:rsidR="00495CDF" w:rsidRPr="00495CDF" w:rsidRDefault="00495CDF" w:rsidP="00495CDF">
      <w:pPr>
        <w:contextualSpacing/>
        <w:jc w:val="both"/>
        <w:rPr>
          <w:rFonts w:ascii="Source Sans Pro" w:eastAsia="Times New Roman" w:hAnsi="Source Sans Pro"/>
          <w:sz w:val="20"/>
          <w:szCs w:val="20"/>
          <w:lang w:eastAsia="es-MX"/>
        </w:rPr>
      </w:pPr>
    </w:p>
    <w:p w14:paraId="570F390C"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Las personas titulares podrán designar a una persona servidora pública en su representación.</w:t>
      </w:r>
    </w:p>
    <w:p w14:paraId="7E0C78CB" w14:textId="77777777" w:rsidR="00495CDF" w:rsidRPr="00495CDF" w:rsidRDefault="00495CDF" w:rsidP="00495CDF">
      <w:pPr>
        <w:contextualSpacing/>
        <w:jc w:val="both"/>
        <w:rPr>
          <w:rFonts w:ascii="Source Sans Pro" w:eastAsia="Times New Roman" w:hAnsi="Source Sans Pro"/>
          <w:sz w:val="20"/>
          <w:szCs w:val="20"/>
          <w:lang w:eastAsia="es-MX"/>
        </w:rPr>
      </w:pPr>
    </w:p>
    <w:p w14:paraId="3F82F21E"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 xml:space="preserve">La persona titular de la Secretaría Técnica será definida por el Comité en los términos que establezca su Acuerdo de Creación. Se considerará que habrá quórum legal para las sesiones, con la presencia del cincuenta por ciento más uno de sus integrantes con derecho a voto. </w:t>
      </w:r>
    </w:p>
    <w:p w14:paraId="1D8F31CE" w14:textId="77777777" w:rsidR="00495CDF" w:rsidRPr="00495CDF" w:rsidRDefault="00495CDF" w:rsidP="00495CDF">
      <w:pPr>
        <w:contextualSpacing/>
        <w:jc w:val="both"/>
        <w:rPr>
          <w:rFonts w:ascii="Source Sans Pro" w:eastAsia="Times New Roman" w:hAnsi="Source Sans Pro"/>
          <w:b/>
          <w:sz w:val="20"/>
          <w:szCs w:val="20"/>
          <w:lang w:eastAsia="es-MX"/>
        </w:rPr>
      </w:pPr>
    </w:p>
    <w:p w14:paraId="19767B90"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8.- </w:t>
      </w:r>
      <w:r w:rsidRPr="00495CDF">
        <w:rPr>
          <w:rFonts w:ascii="Source Sans Pro" w:eastAsia="Times New Roman" w:hAnsi="Source Sans Pro"/>
          <w:sz w:val="20"/>
          <w:szCs w:val="20"/>
          <w:lang w:eastAsia="es-MX"/>
        </w:rPr>
        <w:t>La Secretaría del Medio Ambiente coordinará la ejecución de la Evaluación de Circularidad en los procesos, productos y/o servicios, de conformidad a lo señalado en el Acuerdo de Creación del Comité y los Lineamientos que al efecto se emitan, así como los principios y enfoques de diseño dispuestos en la Ley.</w:t>
      </w:r>
    </w:p>
    <w:p w14:paraId="716F00FA" w14:textId="77777777" w:rsidR="00495CDF" w:rsidRPr="00495CDF" w:rsidRDefault="00495CDF" w:rsidP="00495CDF">
      <w:pPr>
        <w:contextualSpacing/>
        <w:jc w:val="both"/>
        <w:rPr>
          <w:rFonts w:ascii="Source Sans Pro" w:eastAsia="Times New Roman" w:hAnsi="Source Sans Pro"/>
          <w:sz w:val="20"/>
          <w:szCs w:val="20"/>
          <w:lang w:eastAsia="es-MX"/>
        </w:rPr>
      </w:pPr>
    </w:p>
    <w:p w14:paraId="4A856377"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Será causa de exclusión para la Evaluación de Circularidad de los procesos, productos y/o servicios, el no contar con los permisos, autorizaciones, licencias, registros administrativos o cualquier otro requisito administrativo, según corresponda, de conformidad con las disposiciones legales y reglamentarias aplicables vigentes.</w:t>
      </w:r>
    </w:p>
    <w:p w14:paraId="7A45B4C1" w14:textId="77777777" w:rsidR="00495CDF" w:rsidRPr="00495CDF" w:rsidRDefault="00495CDF" w:rsidP="00495CDF">
      <w:pPr>
        <w:contextualSpacing/>
        <w:jc w:val="both"/>
        <w:rPr>
          <w:rFonts w:ascii="Source Sans Pro" w:eastAsia="Times New Roman" w:hAnsi="Source Sans Pro"/>
          <w:sz w:val="20"/>
          <w:szCs w:val="20"/>
          <w:lang w:eastAsia="es-MX"/>
        </w:rPr>
      </w:pPr>
    </w:p>
    <w:p w14:paraId="5F3438DD"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9.-</w:t>
      </w:r>
      <w:r w:rsidRPr="00495CDF">
        <w:rPr>
          <w:rFonts w:ascii="Source Sans Pro" w:eastAsia="Times New Roman" w:hAnsi="Source Sans Pro"/>
          <w:sz w:val="20"/>
          <w:szCs w:val="20"/>
          <w:lang w:eastAsia="es-MX"/>
        </w:rPr>
        <w:t xml:space="preserve"> Durante el procedimiento de Evaluación de Circularidad, se observarán las disposiciones jurídicas de protección de información de los secretos industriales, así como la información confidencial de acuerdo con la normativa aplicable, por lo que bajo tales supuestos la autoridad recibirá dicha información </w:t>
      </w:r>
      <w:r w:rsidRPr="00495CDF">
        <w:rPr>
          <w:rFonts w:ascii="Source Sans Pro" w:eastAsia="Times New Roman" w:hAnsi="Source Sans Pro"/>
          <w:sz w:val="20"/>
          <w:szCs w:val="20"/>
          <w:lang w:eastAsia="es-MX"/>
        </w:rPr>
        <w:lastRenderedPageBreak/>
        <w:t>bajo las reglas y principios de confidencialidad y reserva de la información y, en consecuencia, estará bajo su guarda y custodia.</w:t>
      </w:r>
    </w:p>
    <w:p w14:paraId="71764DB9" w14:textId="77777777" w:rsidR="00495CDF" w:rsidRPr="00495CDF" w:rsidRDefault="00495CDF" w:rsidP="00495CDF">
      <w:pPr>
        <w:contextualSpacing/>
        <w:jc w:val="both"/>
        <w:rPr>
          <w:rFonts w:ascii="Source Sans Pro" w:eastAsia="Times New Roman" w:hAnsi="Source Sans Pro"/>
          <w:sz w:val="20"/>
          <w:szCs w:val="20"/>
          <w:lang w:eastAsia="es-MX"/>
        </w:rPr>
      </w:pPr>
    </w:p>
    <w:p w14:paraId="6290B16F"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II</w:t>
      </w:r>
    </w:p>
    <w:p w14:paraId="63F3D9A5"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Solicitud y registro</w:t>
      </w:r>
    </w:p>
    <w:p w14:paraId="1CF1857B" w14:textId="77777777" w:rsidR="00495CDF" w:rsidRPr="00495CDF" w:rsidRDefault="00495CDF" w:rsidP="00495CDF">
      <w:pPr>
        <w:contextualSpacing/>
        <w:jc w:val="both"/>
        <w:rPr>
          <w:rFonts w:ascii="Source Sans Pro" w:eastAsia="Times New Roman" w:hAnsi="Source Sans Pro"/>
          <w:b/>
          <w:sz w:val="20"/>
          <w:szCs w:val="20"/>
          <w:lang w:eastAsia="es-MX"/>
        </w:rPr>
      </w:pPr>
    </w:p>
    <w:p w14:paraId="789A80CB"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10.- </w:t>
      </w:r>
      <w:r w:rsidRPr="00495CDF">
        <w:rPr>
          <w:rFonts w:ascii="Source Sans Pro" w:eastAsia="Times New Roman" w:hAnsi="Source Sans Pro"/>
          <w:sz w:val="20"/>
          <w:szCs w:val="20"/>
          <w:lang w:eastAsia="es-MX"/>
        </w:rPr>
        <w:t>Las empresas interesadas podrán someter los procesos, productos y/o servicios que desarrollen, distribuyan o comercialicen en el territorio de la Ciudad de México, a la Evaluación de Circularidad, de carácter voluntario, para lo cual deberán presentar ante el Comité, a través de la Secretaría del Medio Ambiente, la siguiente documentación:</w:t>
      </w:r>
    </w:p>
    <w:p w14:paraId="5A4BE607" w14:textId="77777777" w:rsidR="00495CDF" w:rsidRPr="00495CDF" w:rsidRDefault="00495CDF" w:rsidP="00495CDF">
      <w:pPr>
        <w:contextualSpacing/>
        <w:jc w:val="both"/>
        <w:rPr>
          <w:rFonts w:ascii="Source Sans Pro" w:eastAsia="Times New Roman" w:hAnsi="Source Sans Pro"/>
          <w:sz w:val="20"/>
          <w:szCs w:val="20"/>
          <w:lang w:eastAsia="es-MX"/>
        </w:rPr>
      </w:pPr>
    </w:p>
    <w:p w14:paraId="2CC4852B" w14:textId="777D73E1" w:rsidR="00495CDF" w:rsidRPr="00495CDF" w:rsidRDefault="00495CDF" w:rsidP="00495CDF">
      <w:pPr>
        <w:pStyle w:val="Prrafodelista"/>
        <w:numPr>
          <w:ilvl w:val="0"/>
          <w:numId w:val="7"/>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Formato de solicitud determinado en los Lineamientos;</w:t>
      </w:r>
    </w:p>
    <w:p w14:paraId="0A35884F" w14:textId="77777777" w:rsidR="00495CDF" w:rsidRPr="00495CDF" w:rsidRDefault="00495CDF" w:rsidP="00495CDF">
      <w:pPr>
        <w:contextualSpacing/>
        <w:jc w:val="both"/>
        <w:rPr>
          <w:rFonts w:ascii="Source Sans Pro" w:eastAsia="Times New Roman" w:hAnsi="Source Sans Pro"/>
          <w:sz w:val="20"/>
          <w:szCs w:val="20"/>
          <w:lang w:eastAsia="es-MX"/>
        </w:rPr>
      </w:pPr>
    </w:p>
    <w:p w14:paraId="42BAEF54" w14:textId="0AA65F74" w:rsidR="00495CDF" w:rsidRPr="00495CDF" w:rsidRDefault="00495CDF" w:rsidP="00495CDF">
      <w:pPr>
        <w:pStyle w:val="Prrafodelista"/>
        <w:numPr>
          <w:ilvl w:val="0"/>
          <w:numId w:val="7"/>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Los permisos, autorizaciones, licencias, registros y requisitos administrativos de competencia local obligatorios conforme a las disposiciones legales y reglamentarias aplicables y que sean requeridos conforme a los Lineamientos;</w:t>
      </w:r>
    </w:p>
    <w:p w14:paraId="187C3EF0" w14:textId="77777777" w:rsidR="00495CDF" w:rsidRPr="00495CDF" w:rsidRDefault="00495CDF" w:rsidP="00495CDF">
      <w:pPr>
        <w:contextualSpacing/>
        <w:jc w:val="both"/>
        <w:rPr>
          <w:rFonts w:ascii="Source Sans Pro" w:eastAsia="Times New Roman" w:hAnsi="Source Sans Pro"/>
          <w:sz w:val="20"/>
          <w:szCs w:val="20"/>
          <w:lang w:eastAsia="es-MX"/>
        </w:rPr>
      </w:pPr>
    </w:p>
    <w:p w14:paraId="7187335C" w14:textId="53AA46B7" w:rsidR="00495CDF" w:rsidRPr="00495CDF" w:rsidRDefault="00495CDF" w:rsidP="00495CDF">
      <w:pPr>
        <w:pStyle w:val="Prrafodelista"/>
        <w:numPr>
          <w:ilvl w:val="0"/>
          <w:numId w:val="7"/>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Manifiesto de Circularidad, el cual deberá contener:</w:t>
      </w:r>
    </w:p>
    <w:p w14:paraId="6ACA36C6" w14:textId="77777777" w:rsidR="00495CDF" w:rsidRPr="00495CDF" w:rsidRDefault="00495CDF" w:rsidP="00495CDF">
      <w:pPr>
        <w:contextualSpacing/>
        <w:jc w:val="both"/>
        <w:rPr>
          <w:rFonts w:ascii="Source Sans Pro" w:eastAsia="Times New Roman" w:hAnsi="Source Sans Pro"/>
          <w:sz w:val="20"/>
          <w:szCs w:val="20"/>
          <w:lang w:eastAsia="es-MX"/>
        </w:rPr>
      </w:pPr>
    </w:p>
    <w:p w14:paraId="6AA42890" w14:textId="7889B7FC" w:rsidR="00495CDF" w:rsidRPr="00495CDF" w:rsidRDefault="00495CDF" w:rsidP="00495CDF">
      <w:pPr>
        <w:pStyle w:val="Prrafodelista"/>
        <w:numPr>
          <w:ilvl w:val="0"/>
          <w:numId w:val="9"/>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Descripción del cumplimiento de cada uno de los criterios de circularidad que resulten aplicables conforme a los esquemas de evaluación de procesos, productos y/o servicios, según corresponda, junto con su resumen ejecutivo;</w:t>
      </w:r>
    </w:p>
    <w:p w14:paraId="36B5060A" w14:textId="77777777" w:rsidR="00495CDF" w:rsidRPr="00495CDF" w:rsidRDefault="00495CDF" w:rsidP="00495CDF">
      <w:pPr>
        <w:contextualSpacing/>
        <w:jc w:val="both"/>
        <w:rPr>
          <w:rFonts w:ascii="Source Sans Pro" w:eastAsia="Times New Roman" w:hAnsi="Source Sans Pro"/>
          <w:sz w:val="20"/>
          <w:szCs w:val="20"/>
          <w:lang w:eastAsia="es-MX"/>
        </w:rPr>
      </w:pPr>
    </w:p>
    <w:p w14:paraId="59B56C6C" w14:textId="781E7925" w:rsidR="00495CDF" w:rsidRPr="00495CDF" w:rsidRDefault="00495CDF" w:rsidP="00495CDF">
      <w:pPr>
        <w:pStyle w:val="Prrafodelista"/>
        <w:numPr>
          <w:ilvl w:val="0"/>
          <w:numId w:val="9"/>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Versión autorizada por la empresa interesada para su publicación en el Sistema de Información Pública de Economía Circular del resumen ejecutivo referido en el inciso anterior, la cual deberá contener, al menos, la razón social de la empresa y el nombre de los procesos, productos y/o servicios sometidos a evaluación, así como los demás elementos que se determinen en los Lineamientos; y</w:t>
      </w:r>
    </w:p>
    <w:p w14:paraId="200D4D51" w14:textId="77777777" w:rsidR="00495CDF" w:rsidRPr="00495CDF" w:rsidRDefault="00495CDF" w:rsidP="00495CDF">
      <w:pPr>
        <w:contextualSpacing/>
        <w:jc w:val="both"/>
        <w:rPr>
          <w:rFonts w:ascii="Source Sans Pro" w:eastAsia="Times New Roman" w:hAnsi="Source Sans Pro"/>
          <w:sz w:val="20"/>
          <w:szCs w:val="20"/>
          <w:lang w:eastAsia="es-MX"/>
        </w:rPr>
      </w:pPr>
    </w:p>
    <w:p w14:paraId="395BED59" w14:textId="49D5AECF" w:rsidR="00495CDF" w:rsidRPr="00495CDF" w:rsidRDefault="00495CDF" w:rsidP="00495CDF">
      <w:pPr>
        <w:pStyle w:val="Prrafodelista"/>
        <w:numPr>
          <w:ilvl w:val="0"/>
          <w:numId w:val="9"/>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Anexo documental, técnico y fotográfico de los procesos, productos y/o servicios, según corresponda, que sustente el cumplimiento de los criterios de circularidad que es manifestado.</w:t>
      </w:r>
    </w:p>
    <w:p w14:paraId="16AD4FC5" w14:textId="77777777" w:rsidR="00495CDF" w:rsidRPr="00495CDF" w:rsidRDefault="00495CDF" w:rsidP="00495CDF">
      <w:pPr>
        <w:contextualSpacing/>
        <w:jc w:val="both"/>
        <w:rPr>
          <w:rFonts w:ascii="Source Sans Pro" w:eastAsia="Times New Roman" w:hAnsi="Source Sans Pro"/>
          <w:sz w:val="20"/>
          <w:szCs w:val="20"/>
          <w:lang w:eastAsia="es-MX"/>
        </w:rPr>
      </w:pPr>
    </w:p>
    <w:p w14:paraId="11D9E347"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Durante la evaluación de circularidad, se tomarán en cuenta los registros administrativos y certificaciones vigentes. Dentro de la solicitud, el interesado tendrá que hacer del conocimiento los registros y certificaciones vigentes con las que cuente.</w:t>
      </w:r>
    </w:p>
    <w:p w14:paraId="6EF0E2CC" w14:textId="77777777" w:rsidR="00495CDF" w:rsidRPr="00495CDF" w:rsidRDefault="00495CDF" w:rsidP="00495CDF">
      <w:pPr>
        <w:contextualSpacing/>
        <w:jc w:val="both"/>
        <w:rPr>
          <w:rFonts w:ascii="Source Sans Pro" w:eastAsia="Times New Roman" w:hAnsi="Source Sans Pro"/>
          <w:sz w:val="20"/>
          <w:szCs w:val="20"/>
          <w:lang w:eastAsia="es-MX"/>
        </w:rPr>
      </w:pPr>
    </w:p>
    <w:p w14:paraId="2A399B4E"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11.- </w:t>
      </w:r>
      <w:r w:rsidRPr="00495CDF">
        <w:rPr>
          <w:rFonts w:ascii="Source Sans Pro" w:eastAsia="Times New Roman" w:hAnsi="Source Sans Pro"/>
          <w:sz w:val="20"/>
          <w:szCs w:val="20"/>
          <w:lang w:eastAsia="es-MX"/>
        </w:rPr>
        <w:t>La Secretaría del Medio Ambiente, en coordinación con la Secretaría de Desarrollo Económico, deberán actualizar el Sistema de Información Pública de Economía Circular, e incorporar como parte de éste las versiones de los resúmenes ejecutivos a las que se refiere el inciso ii) de la fracción III del artículo 10 del presente Reglamento, para fines de difusión y transparencia entre la ciudadanía.</w:t>
      </w:r>
    </w:p>
    <w:p w14:paraId="7F07C816" w14:textId="77777777" w:rsidR="00495CDF" w:rsidRPr="00495CDF" w:rsidRDefault="00495CDF" w:rsidP="00495CDF">
      <w:pPr>
        <w:contextualSpacing/>
        <w:jc w:val="both"/>
        <w:rPr>
          <w:rFonts w:ascii="Source Sans Pro" w:eastAsia="Times New Roman" w:hAnsi="Source Sans Pro"/>
          <w:sz w:val="20"/>
          <w:szCs w:val="20"/>
          <w:lang w:eastAsia="es-MX"/>
        </w:rPr>
      </w:pPr>
    </w:p>
    <w:p w14:paraId="68940281"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III</w:t>
      </w:r>
    </w:p>
    <w:p w14:paraId="1130FB4A"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Constatación de la información manifestada</w:t>
      </w:r>
    </w:p>
    <w:p w14:paraId="1F24F2FE" w14:textId="77777777" w:rsidR="00495CDF" w:rsidRPr="00495CDF" w:rsidRDefault="00495CDF" w:rsidP="00495CDF">
      <w:pPr>
        <w:contextualSpacing/>
        <w:jc w:val="both"/>
        <w:rPr>
          <w:rFonts w:ascii="Source Sans Pro" w:eastAsia="Times New Roman" w:hAnsi="Source Sans Pro"/>
          <w:b/>
          <w:sz w:val="20"/>
          <w:szCs w:val="20"/>
          <w:lang w:eastAsia="es-MX"/>
        </w:rPr>
      </w:pPr>
    </w:p>
    <w:p w14:paraId="678ABB16"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12.-</w:t>
      </w:r>
      <w:r w:rsidRPr="00495CDF">
        <w:rPr>
          <w:rFonts w:ascii="Source Sans Pro" w:eastAsia="Times New Roman" w:hAnsi="Source Sans Pro"/>
          <w:sz w:val="20"/>
          <w:szCs w:val="20"/>
          <w:lang w:eastAsia="es-MX"/>
        </w:rPr>
        <w:t xml:space="preserve">  El Comité, cuando así lo considere pertinente, podrá cerciorarse del grado de cumplimiento indicado en el Manifiesto de Circularidad para constatar que las declaraciones contenidas en el mismo corresponden a la realidad, para lo cual, requerirá cualquier tipo de información y/o medio probatorio que acredite de manera fehaciente cualquier dato declarado en el manifiesto de circularidad y podrá, a través de cualquiera de los integrantes del Comité solicitar la realización de visitas conforme a las atribuciones de cada una de las dependencias y, de manera supletoria, conforme a lo establecido en el Capítulo Octavo “De </w:t>
      </w:r>
      <w:r w:rsidRPr="00495CDF">
        <w:rPr>
          <w:rFonts w:ascii="Source Sans Pro" w:eastAsia="Times New Roman" w:hAnsi="Source Sans Pro"/>
          <w:sz w:val="20"/>
          <w:szCs w:val="20"/>
          <w:lang w:eastAsia="es-MX"/>
        </w:rPr>
        <w:lastRenderedPageBreak/>
        <w:t>las visitas de verificación” del Título Tercero de la Ley de Procedimiento Administrativo de la Ciudad de México.</w:t>
      </w:r>
    </w:p>
    <w:p w14:paraId="50381967" w14:textId="77777777" w:rsidR="00495CDF" w:rsidRPr="00495CDF" w:rsidRDefault="00495CDF" w:rsidP="00495CDF">
      <w:pPr>
        <w:contextualSpacing/>
        <w:jc w:val="both"/>
        <w:rPr>
          <w:rFonts w:ascii="Source Sans Pro" w:eastAsia="Times New Roman" w:hAnsi="Source Sans Pro"/>
          <w:sz w:val="20"/>
          <w:szCs w:val="20"/>
          <w:lang w:eastAsia="es-MX"/>
        </w:rPr>
      </w:pPr>
    </w:p>
    <w:p w14:paraId="1333592A"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Las visitas a las que se refiere el presente artículo, así como sus notificaciones, serán realizadas por cada uno de los integrantes del Comité, en ejercicio de sus atribuciones, en función de la materia de que se trate.</w:t>
      </w:r>
    </w:p>
    <w:p w14:paraId="33F06472" w14:textId="77777777" w:rsidR="00495CDF" w:rsidRPr="00495CDF" w:rsidRDefault="00495CDF" w:rsidP="00495CDF">
      <w:pPr>
        <w:contextualSpacing/>
        <w:jc w:val="both"/>
        <w:rPr>
          <w:rFonts w:ascii="Source Sans Pro" w:eastAsia="Times New Roman" w:hAnsi="Source Sans Pro"/>
          <w:sz w:val="20"/>
          <w:szCs w:val="20"/>
          <w:lang w:eastAsia="es-MX"/>
        </w:rPr>
      </w:pPr>
    </w:p>
    <w:p w14:paraId="284A2821"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IV</w:t>
      </w:r>
    </w:p>
    <w:p w14:paraId="3FF2551A"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Criterios de circularidad</w:t>
      </w:r>
    </w:p>
    <w:p w14:paraId="4EB79B7D" w14:textId="77777777" w:rsidR="00495CDF" w:rsidRPr="00495CDF" w:rsidRDefault="00495CDF" w:rsidP="00495CDF">
      <w:pPr>
        <w:contextualSpacing/>
        <w:jc w:val="both"/>
        <w:rPr>
          <w:rFonts w:ascii="Source Sans Pro" w:eastAsia="Times New Roman" w:hAnsi="Source Sans Pro"/>
          <w:b/>
          <w:sz w:val="20"/>
          <w:szCs w:val="20"/>
          <w:lang w:eastAsia="es-MX"/>
        </w:rPr>
      </w:pPr>
    </w:p>
    <w:p w14:paraId="2733D231" w14:textId="2D9FFBE5"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13.- </w:t>
      </w:r>
      <w:r w:rsidRPr="00495CDF">
        <w:rPr>
          <w:rFonts w:ascii="Source Sans Pro" w:eastAsia="Times New Roman" w:hAnsi="Source Sans Pro"/>
          <w:sz w:val="20"/>
          <w:szCs w:val="20"/>
          <w:lang w:eastAsia="es-MX"/>
        </w:rPr>
        <w:t>Los criterios de circularidad serán establecidos en los Lineamientos. Para la formulación de los criterios de circularidad, la Secretaría del Medio Ambiente, en coordinación con la Secretaría de Desarrollo Económico, pedirá opinión a las Dependencias y entidades correspondientes en el ámbito de sus competencias.</w:t>
      </w:r>
    </w:p>
    <w:p w14:paraId="0A135821"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Capítulo tercero</w:t>
      </w:r>
    </w:p>
    <w:p w14:paraId="2328918D" w14:textId="26C27FC6"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Distintivo de Circularidad</w:t>
      </w:r>
    </w:p>
    <w:p w14:paraId="6664A477" w14:textId="77777777" w:rsidR="00495CDF" w:rsidRPr="00495CDF" w:rsidRDefault="00495CDF" w:rsidP="00495CDF">
      <w:pPr>
        <w:contextualSpacing/>
        <w:jc w:val="center"/>
        <w:rPr>
          <w:rFonts w:ascii="Source Sans Pro" w:eastAsia="Times New Roman" w:hAnsi="Source Sans Pro"/>
          <w:b/>
          <w:sz w:val="20"/>
          <w:szCs w:val="20"/>
          <w:lang w:eastAsia="es-MX"/>
        </w:rPr>
      </w:pPr>
    </w:p>
    <w:p w14:paraId="3E0645B1"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w:t>
      </w:r>
    </w:p>
    <w:p w14:paraId="11AC76B0"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Emisión y vigencia</w:t>
      </w:r>
    </w:p>
    <w:p w14:paraId="2051FA2F" w14:textId="77777777" w:rsidR="00495CDF" w:rsidRPr="00495CDF" w:rsidRDefault="00495CDF" w:rsidP="00495CDF">
      <w:pPr>
        <w:contextualSpacing/>
        <w:jc w:val="both"/>
        <w:rPr>
          <w:rFonts w:ascii="Source Sans Pro" w:eastAsia="Times New Roman" w:hAnsi="Source Sans Pro"/>
          <w:b/>
          <w:sz w:val="20"/>
          <w:szCs w:val="20"/>
          <w:lang w:eastAsia="es-MX"/>
        </w:rPr>
      </w:pPr>
    </w:p>
    <w:p w14:paraId="03F7920D"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14.- </w:t>
      </w:r>
      <w:r w:rsidRPr="00495CDF">
        <w:rPr>
          <w:rFonts w:ascii="Source Sans Pro" w:eastAsia="Times New Roman" w:hAnsi="Source Sans Pro"/>
          <w:sz w:val="20"/>
          <w:szCs w:val="20"/>
          <w:lang w:eastAsia="es-MX"/>
        </w:rPr>
        <w:t>La Secretaría del Medio Ambiente notificará a la empresa interesada el resultado de la Evaluación de Circularidad obtenido de conformidad con el nivel de cumplimiento de los criterios de circularidad, en los términos siguientes:</w:t>
      </w:r>
    </w:p>
    <w:p w14:paraId="4BAAC04F" w14:textId="77777777" w:rsidR="00495CDF" w:rsidRPr="00495CDF" w:rsidRDefault="00495CDF" w:rsidP="00495CDF">
      <w:pPr>
        <w:contextualSpacing/>
        <w:jc w:val="both"/>
        <w:rPr>
          <w:rFonts w:ascii="Source Sans Pro" w:eastAsia="Times New Roman" w:hAnsi="Source Sans Pro"/>
          <w:sz w:val="20"/>
          <w:szCs w:val="20"/>
          <w:lang w:eastAsia="es-MX"/>
        </w:rPr>
      </w:pPr>
    </w:p>
    <w:p w14:paraId="70A06A64" w14:textId="2C7070E6" w:rsidR="00495CDF" w:rsidRPr="00495CDF" w:rsidRDefault="00495CDF" w:rsidP="00495CDF">
      <w:pPr>
        <w:pStyle w:val="Prrafodelista"/>
        <w:numPr>
          <w:ilvl w:val="0"/>
          <w:numId w:val="10"/>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“Distintivo de Circularidad Nivel 1” para los participantes que hayan cumplido de manera íntegra y satisfactoria con al menos 80% del puntaje total.</w:t>
      </w:r>
    </w:p>
    <w:p w14:paraId="551E7A69" w14:textId="77777777" w:rsidR="00495CDF" w:rsidRPr="00495CDF" w:rsidRDefault="00495CDF" w:rsidP="00495CDF">
      <w:pPr>
        <w:contextualSpacing/>
        <w:jc w:val="both"/>
        <w:rPr>
          <w:rFonts w:ascii="Source Sans Pro" w:eastAsia="Times New Roman" w:hAnsi="Source Sans Pro"/>
          <w:sz w:val="20"/>
          <w:szCs w:val="20"/>
          <w:lang w:eastAsia="es-MX"/>
        </w:rPr>
      </w:pPr>
    </w:p>
    <w:p w14:paraId="0D4AE032" w14:textId="1E20DE87" w:rsidR="00495CDF" w:rsidRPr="00495CDF" w:rsidRDefault="00495CDF" w:rsidP="00495CDF">
      <w:pPr>
        <w:pStyle w:val="Prrafodelista"/>
        <w:numPr>
          <w:ilvl w:val="0"/>
          <w:numId w:val="10"/>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“Distintivo de Circularidad Nivel 2” para los participantes que hayan cumplido de manera íntegra y satisfactoria con al menos 90% del puntaje total.</w:t>
      </w:r>
    </w:p>
    <w:p w14:paraId="0C878DAC" w14:textId="77777777" w:rsidR="00495CDF" w:rsidRPr="00495CDF" w:rsidRDefault="00495CDF" w:rsidP="00495CDF">
      <w:pPr>
        <w:contextualSpacing/>
        <w:jc w:val="both"/>
        <w:rPr>
          <w:rFonts w:ascii="Source Sans Pro" w:eastAsia="Times New Roman" w:hAnsi="Source Sans Pro"/>
          <w:sz w:val="20"/>
          <w:szCs w:val="20"/>
          <w:lang w:eastAsia="es-MX"/>
        </w:rPr>
      </w:pPr>
    </w:p>
    <w:p w14:paraId="4752B91B" w14:textId="6108F9F7" w:rsidR="00495CDF" w:rsidRPr="00495CDF" w:rsidRDefault="00495CDF" w:rsidP="00495CDF">
      <w:pPr>
        <w:pStyle w:val="Prrafodelista"/>
        <w:numPr>
          <w:ilvl w:val="0"/>
          <w:numId w:val="10"/>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“Distintivo de Circularidad Nivel 3” para los participantes que hayan cumplido de manera íntegra y satisfactoria con el 100% del puntaje total.</w:t>
      </w:r>
    </w:p>
    <w:p w14:paraId="4B940E6F" w14:textId="77777777" w:rsidR="00495CDF" w:rsidRPr="00495CDF" w:rsidRDefault="00495CDF" w:rsidP="00495CDF">
      <w:pPr>
        <w:contextualSpacing/>
        <w:jc w:val="both"/>
        <w:rPr>
          <w:rFonts w:ascii="Source Sans Pro" w:eastAsia="Times New Roman" w:hAnsi="Source Sans Pro"/>
          <w:sz w:val="20"/>
          <w:szCs w:val="20"/>
          <w:lang w:eastAsia="es-MX"/>
        </w:rPr>
      </w:pPr>
    </w:p>
    <w:p w14:paraId="09FA990F" w14:textId="754C1284" w:rsidR="00495CDF" w:rsidRPr="00495CDF" w:rsidRDefault="00495CDF" w:rsidP="00495CDF">
      <w:pPr>
        <w:pStyle w:val="Prrafodelista"/>
        <w:numPr>
          <w:ilvl w:val="0"/>
          <w:numId w:val="10"/>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“Distintivo de Circularidad Nivel 4” para los participantes que posterior a la revalidación hayan mantenido el cumplimiento de manera íntegra y satisfactoria con el 100% del puntaje total.</w:t>
      </w:r>
    </w:p>
    <w:p w14:paraId="6DCE9B07" w14:textId="77777777" w:rsidR="00495CDF" w:rsidRPr="00495CDF" w:rsidRDefault="00495CDF" w:rsidP="00495CDF">
      <w:pPr>
        <w:contextualSpacing/>
        <w:jc w:val="both"/>
        <w:rPr>
          <w:rFonts w:ascii="Source Sans Pro" w:eastAsia="Times New Roman" w:hAnsi="Source Sans Pro"/>
          <w:sz w:val="20"/>
          <w:szCs w:val="20"/>
          <w:lang w:eastAsia="es-MX"/>
        </w:rPr>
      </w:pPr>
    </w:p>
    <w:p w14:paraId="2A1E5FCB"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En caso de que se alcance el cumplimiento de manera íntegra y satisfactoria de menos del 80% del puntaje total, se notificará a la empresa interesada que no alcanzó el puntaje necesario para la obtención de alguno de los distintivos de circularidad. En los casos que la empresa interesada haya obtenido un puntaje de al menos el 50%, el resultado de la Evaluación de Circularidad se acompañará de un anexo técnico de recomendaciones tendientes a que la empresa incremente su nivel de circularidad.</w:t>
      </w:r>
    </w:p>
    <w:p w14:paraId="6A4DB926" w14:textId="77777777" w:rsidR="00495CDF" w:rsidRPr="00495CDF" w:rsidRDefault="00495CDF" w:rsidP="00495CDF">
      <w:pPr>
        <w:contextualSpacing/>
        <w:jc w:val="both"/>
        <w:rPr>
          <w:rFonts w:ascii="Source Sans Pro" w:eastAsia="Times New Roman" w:hAnsi="Source Sans Pro"/>
          <w:sz w:val="20"/>
          <w:szCs w:val="20"/>
          <w:lang w:eastAsia="es-MX"/>
        </w:rPr>
      </w:pPr>
    </w:p>
    <w:p w14:paraId="42C4CECE"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15.- </w:t>
      </w:r>
      <w:r w:rsidRPr="00495CDF">
        <w:rPr>
          <w:rFonts w:ascii="Source Sans Pro" w:eastAsia="Times New Roman" w:hAnsi="Source Sans Pro"/>
          <w:sz w:val="20"/>
          <w:szCs w:val="20"/>
          <w:lang w:eastAsia="es-MX"/>
        </w:rPr>
        <w:t xml:space="preserve">La notificación del resultado de la Evaluación de Circularidad por parte de la Secretaría del Medio Ambiente contendrá: </w:t>
      </w:r>
    </w:p>
    <w:p w14:paraId="133E932C" w14:textId="77777777" w:rsidR="00495CDF" w:rsidRPr="00495CDF" w:rsidRDefault="00495CDF" w:rsidP="00495CDF">
      <w:pPr>
        <w:contextualSpacing/>
        <w:jc w:val="both"/>
        <w:rPr>
          <w:rFonts w:ascii="Source Sans Pro" w:eastAsia="Times New Roman" w:hAnsi="Source Sans Pro"/>
          <w:sz w:val="20"/>
          <w:szCs w:val="20"/>
          <w:lang w:eastAsia="es-MX"/>
        </w:rPr>
      </w:pPr>
    </w:p>
    <w:p w14:paraId="62A0CCC2" w14:textId="6C9FE402" w:rsidR="00495CDF" w:rsidRPr="00495CDF" w:rsidRDefault="00495CDF" w:rsidP="00495CDF">
      <w:pPr>
        <w:pStyle w:val="Prrafodelista"/>
        <w:numPr>
          <w:ilvl w:val="0"/>
          <w:numId w:val="11"/>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Resolución considerando los criterios adoptados, los resultados, el puntaje obtenido y, en los casos que corresponda de acuerdo al artículo 14 del presente ordenamiento, un anexo técnico de recomendaciones.</w:t>
      </w:r>
    </w:p>
    <w:p w14:paraId="4DDC1D25" w14:textId="77777777" w:rsidR="00495CDF" w:rsidRPr="00495CDF" w:rsidRDefault="00495CDF" w:rsidP="00495CDF">
      <w:pPr>
        <w:contextualSpacing/>
        <w:jc w:val="both"/>
        <w:rPr>
          <w:rFonts w:ascii="Source Sans Pro" w:eastAsia="Times New Roman" w:hAnsi="Source Sans Pro"/>
          <w:sz w:val="20"/>
          <w:szCs w:val="20"/>
          <w:lang w:eastAsia="es-MX"/>
        </w:rPr>
      </w:pPr>
    </w:p>
    <w:p w14:paraId="1056F926" w14:textId="171F1B7E" w:rsidR="00495CDF" w:rsidRPr="00495CDF" w:rsidRDefault="00495CDF" w:rsidP="00495CDF">
      <w:pPr>
        <w:pStyle w:val="Prrafodelista"/>
        <w:numPr>
          <w:ilvl w:val="0"/>
          <w:numId w:val="11"/>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El Distintivo de Circularidad que en su caso resulte aplicable, de conformidad con el artículo 14 del presente ordenamiento.</w:t>
      </w:r>
    </w:p>
    <w:p w14:paraId="73A0DF13" w14:textId="77777777" w:rsidR="00495CDF" w:rsidRPr="00495CDF" w:rsidRDefault="00495CDF" w:rsidP="00495CDF">
      <w:pPr>
        <w:contextualSpacing/>
        <w:jc w:val="both"/>
        <w:rPr>
          <w:rFonts w:ascii="Source Sans Pro" w:eastAsia="Times New Roman" w:hAnsi="Source Sans Pro"/>
          <w:sz w:val="20"/>
          <w:szCs w:val="20"/>
          <w:lang w:eastAsia="es-MX"/>
        </w:rPr>
      </w:pPr>
    </w:p>
    <w:p w14:paraId="7D9AC58C"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lastRenderedPageBreak/>
        <w:t xml:space="preserve">Artículo 16.- </w:t>
      </w:r>
      <w:r w:rsidRPr="00495CDF">
        <w:rPr>
          <w:rFonts w:ascii="Source Sans Pro" w:eastAsia="Times New Roman" w:hAnsi="Source Sans Pro"/>
          <w:sz w:val="20"/>
          <w:szCs w:val="20"/>
          <w:lang w:eastAsia="es-MX"/>
        </w:rPr>
        <w:t>Los Distintivos de Circularidad serán de uso exclusivo para los procesos, productos y/o servicios para los cuales fueron emitidos, conforme a lo que establezcan los Lineamientos y tendrán una vigencia de tres años y podrán ser revalidados de conformidad con el presente Reglamento.</w:t>
      </w:r>
    </w:p>
    <w:p w14:paraId="3599908F" w14:textId="77777777" w:rsidR="00495CDF" w:rsidRPr="00495CDF" w:rsidRDefault="00495CDF" w:rsidP="00495CDF">
      <w:pPr>
        <w:contextualSpacing/>
        <w:jc w:val="both"/>
        <w:rPr>
          <w:rFonts w:ascii="Source Sans Pro" w:eastAsia="Times New Roman" w:hAnsi="Source Sans Pro"/>
          <w:sz w:val="20"/>
          <w:szCs w:val="20"/>
          <w:lang w:eastAsia="es-MX"/>
        </w:rPr>
      </w:pPr>
    </w:p>
    <w:p w14:paraId="5F4B8BCC"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17.- </w:t>
      </w:r>
      <w:r w:rsidRPr="00495CDF">
        <w:rPr>
          <w:rFonts w:ascii="Source Sans Pro" w:eastAsia="Times New Roman" w:hAnsi="Source Sans Pro"/>
          <w:sz w:val="20"/>
          <w:szCs w:val="20"/>
          <w:lang w:eastAsia="es-MX"/>
        </w:rPr>
        <w:t>Las empresas que obtengan la autorización para el uso del Distintivo de Circularidad Nivel 3 y Nivel 4 podrán acceder a los incentivos fiscales que se establezcan de acuerdo con el presente ordenamiento y la normativa aplicable.</w:t>
      </w:r>
    </w:p>
    <w:p w14:paraId="703F06BF" w14:textId="77777777" w:rsidR="00495CDF" w:rsidRPr="00495CDF" w:rsidRDefault="00495CDF" w:rsidP="00495CDF">
      <w:pPr>
        <w:contextualSpacing/>
        <w:jc w:val="both"/>
        <w:rPr>
          <w:rFonts w:ascii="Source Sans Pro" w:eastAsia="Times New Roman" w:hAnsi="Source Sans Pro"/>
          <w:b/>
          <w:sz w:val="20"/>
          <w:szCs w:val="20"/>
          <w:lang w:eastAsia="es-MX"/>
        </w:rPr>
      </w:pPr>
    </w:p>
    <w:p w14:paraId="3CF2ADF8"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II</w:t>
      </w:r>
    </w:p>
    <w:p w14:paraId="4508E22E"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Uso del Distintivo de circularidad</w:t>
      </w:r>
    </w:p>
    <w:p w14:paraId="00D9C573" w14:textId="77777777" w:rsidR="00495CDF" w:rsidRPr="00495CDF" w:rsidRDefault="00495CDF" w:rsidP="00495CDF">
      <w:pPr>
        <w:contextualSpacing/>
        <w:jc w:val="both"/>
        <w:rPr>
          <w:rFonts w:ascii="Source Sans Pro" w:eastAsia="Times New Roman" w:hAnsi="Source Sans Pro"/>
          <w:b/>
          <w:sz w:val="20"/>
          <w:szCs w:val="20"/>
          <w:lang w:eastAsia="es-MX"/>
        </w:rPr>
      </w:pPr>
    </w:p>
    <w:p w14:paraId="3D786BE0"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18.- </w:t>
      </w:r>
      <w:r w:rsidRPr="00495CDF">
        <w:rPr>
          <w:rFonts w:ascii="Source Sans Pro" w:eastAsia="Times New Roman" w:hAnsi="Source Sans Pro"/>
          <w:sz w:val="20"/>
          <w:szCs w:val="20"/>
          <w:lang w:eastAsia="es-MX"/>
        </w:rPr>
        <w:t xml:space="preserve">La Secretaría del Medio Ambiente emitirá un Manual de uso del diseño del Distintivo de Circularidad, mismo que será de observancia obligatoria para todas las empresas que tengan autorizado su uso. </w:t>
      </w:r>
    </w:p>
    <w:p w14:paraId="4FCF3276" w14:textId="77777777" w:rsidR="00495CDF" w:rsidRPr="00495CDF" w:rsidRDefault="00495CDF" w:rsidP="00495CDF">
      <w:pPr>
        <w:contextualSpacing/>
        <w:jc w:val="both"/>
        <w:rPr>
          <w:rFonts w:ascii="Source Sans Pro" w:eastAsia="Times New Roman" w:hAnsi="Source Sans Pro"/>
          <w:sz w:val="20"/>
          <w:szCs w:val="20"/>
          <w:lang w:eastAsia="es-MX"/>
        </w:rPr>
      </w:pPr>
    </w:p>
    <w:p w14:paraId="5ACFC61C"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19.- </w:t>
      </w:r>
      <w:r w:rsidRPr="00495CDF">
        <w:rPr>
          <w:rFonts w:ascii="Source Sans Pro" w:eastAsia="Times New Roman" w:hAnsi="Source Sans Pro"/>
          <w:sz w:val="20"/>
          <w:szCs w:val="20"/>
          <w:lang w:eastAsia="es-MX"/>
        </w:rPr>
        <w:t>La Secretaría del Medio Ambiente proporcionará el Manual de uso del diseño del Distintivo de Circularidad, que contiene la imagen gráfica del Distintivo de Circularidad para ser utilizado en la impresión y grabado de los procesos, productos y/o servicios, por parte de la empresa autorizada.</w:t>
      </w:r>
    </w:p>
    <w:p w14:paraId="6FF019EE" w14:textId="77777777" w:rsidR="00495CDF" w:rsidRPr="00495CDF" w:rsidRDefault="00495CDF" w:rsidP="00495CDF">
      <w:pPr>
        <w:contextualSpacing/>
        <w:jc w:val="both"/>
        <w:rPr>
          <w:rFonts w:ascii="Source Sans Pro" w:eastAsia="Times New Roman" w:hAnsi="Source Sans Pro"/>
          <w:sz w:val="20"/>
          <w:szCs w:val="20"/>
          <w:lang w:eastAsia="es-MX"/>
        </w:rPr>
      </w:pPr>
    </w:p>
    <w:p w14:paraId="691F9FAB"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20.- </w:t>
      </w:r>
      <w:r w:rsidRPr="00495CDF">
        <w:rPr>
          <w:rFonts w:ascii="Source Sans Pro" w:eastAsia="Times New Roman" w:hAnsi="Source Sans Pro"/>
          <w:sz w:val="20"/>
          <w:szCs w:val="20"/>
          <w:lang w:eastAsia="es-MX"/>
        </w:rPr>
        <w:t>Las empresas que cuenten con la autorización para el uso del Distintivo de Circularidad deberán generar un código QR que formará parte del distintivo de circularidad y que permita visualizar el número de registro y la versión pública del resumen ejecutivo del Manifiesto de Circularidad que corresponda a los procesos, productos y/o servicios.</w:t>
      </w:r>
    </w:p>
    <w:p w14:paraId="7D3D45A6" w14:textId="77777777" w:rsidR="00495CDF" w:rsidRPr="00495CDF" w:rsidRDefault="00495CDF" w:rsidP="00495CDF">
      <w:pPr>
        <w:contextualSpacing/>
        <w:jc w:val="both"/>
        <w:rPr>
          <w:rFonts w:ascii="Source Sans Pro" w:eastAsia="Times New Roman" w:hAnsi="Source Sans Pro"/>
          <w:sz w:val="20"/>
          <w:szCs w:val="20"/>
          <w:lang w:eastAsia="es-MX"/>
        </w:rPr>
      </w:pPr>
    </w:p>
    <w:p w14:paraId="32A5EC0A"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21.-</w:t>
      </w:r>
      <w:r w:rsidRPr="00495CDF">
        <w:rPr>
          <w:rFonts w:ascii="Source Sans Pro" w:eastAsia="Times New Roman" w:hAnsi="Source Sans Pro"/>
          <w:sz w:val="20"/>
          <w:szCs w:val="20"/>
          <w:lang w:eastAsia="es-MX"/>
        </w:rPr>
        <w:t xml:space="preserve"> Queda prohibido el uso de la imagen gráfica del Distintivo de Circularidad para cualquier sujeto de carácter público o privado que no esté autorizado en los términos del presente ordenamiento y los Lineamientos; en caso de hacerlo, serán sujetos a sanciones de carácter penal, administrativo, mercantil o civil que al efecto sean aplicables por dicha conducta.</w:t>
      </w:r>
    </w:p>
    <w:p w14:paraId="225D037E" w14:textId="77777777" w:rsidR="00495CDF" w:rsidRPr="00495CDF" w:rsidRDefault="00495CDF" w:rsidP="00495CDF">
      <w:pPr>
        <w:contextualSpacing/>
        <w:jc w:val="both"/>
        <w:rPr>
          <w:rFonts w:ascii="Source Sans Pro" w:eastAsia="Times New Roman" w:hAnsi="Source Sans Pro"/>
          <w:sz w:val="20"/>
          <w:szCs w:val="20"/>
          <w:lang w:eastAsia="es-MX"/>
        </w:rPr>
      </w:pPr>
    </w:p>
    <w:p w14:paraId="655BB3AA"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III</w:t>
      </w:r>
    </w:p>
    <w:p w14:paraId="0A08781F"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Seguimiento del Distintivo de Circularidad</w:t>
      </w:r>
    </w:p>
    <w:p w14:paraId="01F4FE4E" w14:textId="77777777" w:rsidR="00495CDF" w:rsidRPr="00495CDF" w:rsidRDefault="00495CDF" w:rsidP="00495CDF">
      <w:pPr>
        <w:contextualSpacing/>
        <w:jc w:val="both"/>
        <w:rPr>
          <w:rFonts w:ascii="Source Sans Pro" w:eastAsia="Times New Roman" w:hAnsi="Source Sans Pro"/>
          <w:sz w:val="20"/>
          <w:szCs w:val="20"/>
          <w:lang w:eastAsia="es-MX"/>
        </w:rPr>
      </w:pPr>
    </w:p>
    <w:p w14:paraId="2ECC9CED"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22. </w:t>
      </w:r>
      <w:r w:rsidRPr="00495CDF">
        <w:rPr>
          <w:rFonts w:ascii="Source Sans Pro" w:eastAsia="Times New Roman" w:hAnsi="Source Sans Pro"/>
          <w:sz w:val="20"/>
          <w:szCs w:val="20"/>
          <w:lang w:eastAsia="es-MX"/>
        </w:rPr>
        <w:t>Las empresas que obtuvieron la autorización para el uso del Distintivo de Circularidad en cualquiera de sus niveles deberán presentar a la Secretaría del Medio Ambiente un reporte de seguimiento anual durante el periodo de vigencia de dicho distintivo.</w:t>
      </w:r>
    </w:p>
    <w:p w14:paraId="7AACF87A" w14:textId="77777777" w:rsidR="00495CDF" w:rsidRPr="00495CDF" w:rsidRDefault="00495CDF" w:rsidP="00495CDF">
      <w:pPr>
        <w:contextualSpacing/>
        <w:jc w:val="both"/>
        <w:rPr>
          <w:rFonts w:ascii="Source Sans Pro" w:eastAsia="Times New Roman" w:hAnsi="Source Sans Pro"/>
          <w:sz w:val="20"/>
          <w:szCs w:val="20"/>
          <w:lang w:eastAsia="es-MX"/>
        </w:rPr>
      </w:pPr>
    </w:p>
    <w:p w14:paraId="58C562FE"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23.</w:t>
      </w:r>
      <w:r w:rsidRPr="00495CDF">
        <w:rPr>
          <w:rFonts w:ascii="Source Sans Pro" w:eastAsia="Times New Roman" w:hAnsi="Source Sans Pro"/>
          <w:sz w:val="20"/>
          <w:szCs w:val="20"/>
          <w:lang w:eastAsia="es-MX"/>
        </w:rPr>
        <w:t xml:space="preserve"> En caso de haber realizado cambios o modificaciones en las condiciones sobre las cuales se realizó la Evaluación de Circularidad y se otorgó la autorización para el uso del Distintivo de Circularidad durante el periodo de vigencia, éstos deberán ser informados a la Secretaría del Medio Ambiente en un plazo no mayor a diez días hábiles posteriores a su realización, con el fin de que determine el mantenimiento o revocación de la autorización para el uso del distintivo.</w:t>
      </w:r>
    </w:p>
    <w:p w14:paraId="2773A216" w14:textId="77777777" w:rsidR="00495CDF" w:rsidRPr="00495CDF" w:rsidRDefault="00495CDF" w:rsidP="00495CDF">
      <w:pPr>
        <w:contextualSpacing/>
        <w:jc w:val="both"/>
        <w:rPr>
          <w:rFonts w:ascii="Source Sans Pro" w:eastAsia="Times New Roman" w:hAnsi="Source Sans Pro"/>
          <w:sz w:val="20"/>
          <w:szCs w:val="20"/>
          <w:lang w:eastAsia="es-MX"/>
        </w:rPr>
      </w:pPr>
    </w:p>
    <w:p w14:paraId="1A1DEA7B"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Artículo 24.</w:t>
      </w:r>
      <w:r w:rsidRPr="00495CDF">
        <w:rPr>
          <w:rFonts w:ascii="Source Sans Pro" w:eastAsia="Times New Roman" w:hAnsi="Source Sans Pro"/>
          <w:sz w:val="20"/>
          <w:szCs w:val="20"/>
          <w:lang w:eastAsia="es-MX"/>
        </w:rPr>
        <w:t xml:space="preserve">- El Comité podrá acordar con sus integrantes la realización de las visitas que estime necesarias, en el ámbito de cada una de sus atribuciones, para cerciorarse de lo manifestado en los reportes de seguimiento, </w:t>
      </w:r>
      <w:r w:rsidRPr="00495CDF">
        <w:rPr>
          <w:rFonts w:ascii="Source Sans Pro" w:eastAsia="Source Sans Pro" w:hAnsi="Source Sans Pro"/>
          <w:sz w:val="20"/>
          <w:szCs w:val="20"/>
          <w:lang w:eastAsia="es-MX"/>
        </w:rPr>
        <w:t>conforme a las atribuciones de cada una de las dependencias y, de manera supletoria, conforme a</w:t>
      </w:r>
      <w:r w:rsidRPr="00495CDF">
        <w:rPr>
          <w:rFonts w:ascii="Source Sans Pro" w:eastAsia="Times New Roman" w:hAnsi="Source Sans Pro"/>
          <w:sz w:val="20"/>
          <w:szCs w:val="20"/>
          <w:lang w:eastAsia="es-MX"/>
        </w:rPr>
        <w:t xml:space="preserve"> lo establecido en el Capítulo Octavo “De las visitas de verificación” del Título Tercero de la Ley de Procedimiento Administrativo de la Ciudad de México.</w:t>
      </w:r>
    </w:p>
    <w:p w14:paraId="08B924EA" w14:textId="77777777" w:rsidR="00495CDF" w:rsidRPr="00495CDF" w:rsidRDefault="00495CDF" w:rsidP="00495CDF">
      <w:pPr>
        <w:contextualSpacing/>
        <w:jc w:val="center"/>
        <w:rPr>
          <w:rFonts w:ascii="Source Sans Pro" w:eastAsia="Times New Roman" w:hAnsi="Source Sans Pro"/>
          <w:sz w:val="20"/>
          <w:szCs w:val="20"/>
          <w:lang w:eastAsia="es-MX"/>
        </w:rPr>
      </w:pPr>
    </w:p>
    <w:p w14:paraId="41C9C946"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Sección IV</w:t>
      </w:r>
    </w:p>
    <w:p w14:paraId="753B58F8"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Revalidación del Distintivo de Circularidad</w:t>
      </w:r>
    </w:p>
    <w:p w14:paraId="00D11A6F" w14:textId="77777777" w:rsidR="00495CDF" w:rsidRPr="00495CDF" w:rsidRDefault="00495CDF" w:rsidP="00495CDF">
      <w:pPr>
        <w:contextualSpacing/>
        <w:jc w:val="center"/>
        <w:rPr>
          <w:rFonts w:ascii="Source Sans Pro" w:eastAsia="Times New Roman" w:hAnsi="Source Sans Pro"/>
          <w:b/>
          <w:sz w:val="20"/>
          <w:szCs w:val="20"/>
          <w:lang w:eastAsia="es-MX"/>
        </w:rPr>
      </w:pPr>
    </w:p>
    <w:p w14:paraId="70EFBD02"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lastRenderedPageBreak/>
        <w:t xml:space="preserve">Artículo 25.- </w:t>
      </w:r>
      <w:r w:rsidRPr="00495CDF">
        <w:rPr>
          <w:rFonts w:ascii="Source Sans Pro" w:eastAsia="Times New Roman" w:hAnsi="Source Sans Pro"/>
          <w:sz w:val="20"/>
          <w:szCs w:val="20"/>
          <w:lang w:eastAsia="es-MX"/>
        </w:rPr>
        <w:t>Las empresas interesadas en revalidar su autorización para el uso del Distintivo de Circularidad deberán adherirse a lo establecido en el procedimiento de Evaluación de Circularidad del presente Reglamento y los Lineamientos.</w:t>
      </w:r>
    </w:p>
    <w:p w14:paraId="3832E7C5" w14:textId="77777777" w:rsidR="00495CDF" w:rsidRPr="00495CDF" w:rsidRDefault="00495CDF" w:rsidP="00495CDF">
      <w:pPr>
        <w:contextualSpacing/>
        <w:jc w:val="both"/>
        <w:rPr>
          <w:rFonts w:ascii="Source Sans Pro" w:eastAsia="Times New Roman" w:hAnsi="Source Sans Pro"/>
          <w:sz w:val="20"/>
          <w:szCs w:val="20"/>
          <w:lang w:eastAsia="es-MX"/>
        </w:rPr>
      </w:pPr>
    </w:p>
    <w:p w14:paraId="63CA29CB" w14:textId="77777777" w:rsid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 solicitud de revalidación deberá ser presentada antes de los cuarenta días hábiles previos al término de la vigencia del Distintivo de Circularidad.</w:t>
      </w:r>
    </w:p>
    <w:p w14:paraId="1ACD237D" w14:textId="77777777" w:rsidR="00495CDF" w:rsidRDefault="00495CDF" w:rsidP="00495CDF">
      <w:pPr>
        <w:contextualSpacing/>
        <w:jc w:val="both"/>
        <w:rPr>
          <w:rFonts w:ascii="Source Sans Pro" w:eastAsia="Times New Roman" w:hAnsi="Source Sans Pro"/>
          <w:sz w:val="20"/>
          <w:szCs w:val="20"/>
          <w:lang w:eastAsia="es-MX"/>
        </w:rPr>
      </w:pPr>
    </w:p>
    <w:p w14:paraId="4FB8D97D" w14:textId="5DB2434F" w:rsidR="00495CDF" w:rsidRPr="00495CDF" w:rsidRDefault="00495CDF" w:rsidP="00495CDF">
      <w:pPr>
        <w:contextualSpacing/>
        <w:jc w:val="center"/>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Sección V</w:t>
      </w:r>
    </w:p>
    <w:p w14:paraId="017C7618"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Revocación del Distintivo de Circularidad</w:t>
      </w:r>
    </w:p>
    <w:p w14:paraId="1ECB167E" w14:textId="77777777" w:rsidR="00495CDF" w:rsidRPr="00495CDF" w:rsidRDefault="00495CDF" w:rsidP="00495CDF">
      <w:pPr>
        <w:contextualSpacing/>
        <w:jc w:val="both"/>
        <w:rPr>
          <w:rFonts w:ascii="Source Sans Pro" w:eastAsia="Times New Roman" w:hAnsi="Source Sans Pro"/>
          <w:b/>
          <w:sz w:val="20"/>
          <w:szCs w:val="20"/>
          <w:lang w:eastAsia="es-MX"/>
        </w:rPr>
      </w:pPr>
    </w:p>
    <w:p w14:paraId="702A93D9"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26.- </w:t>
      </w:r>
      <w:r w:rsidRPr="00495CDF">
        <w:rPr>
          <w:rFonts w:ascii="Source Sans Pro" w:eastAsia="Times New Roman" w:hAnsi="Source Sans Pro"/>
          <w:sz w:val="20"/>
          <w:szCs w:val="20"/>
          <w:lang w:eastAsia="es-MX"/>
        </w:rPr>
        <w:t>En cualquier momento el Comité podrá acordar que se suspenda el procedimiento de Evaluación de Circularidad o, en su caso, que se revoque la autorización para el uso del Distintivo de Circularidad, cuando detecte dolo, mala fe, o que se pretenda inducir al error a la autoridad mediante el ingreso de un Manifiesto de Circularidad sobre el cual la empresa interesada tiene conocimiento de que lo declarado en éste no corresponde con la realidad; dando vista a las autoridades correspondientes para que determinen lo conducente.</w:t>
      </w:r>
    </w:p>
    <w:p w14:paraId="2C76DA64" w14:textId="77777777" w:rsidR="00495CDF" w:rsidRPr="00495CDF" w:rsidRDefault="00495CDF" w:rsidP="00495CDF">
      <w:pPr>
        <w:contextualSpacing/>
        <w:jc w:val="both"/>
        <w:rPr>
          <w:rFonts w:ascii="Source Sans Pro" w:eastAsia="Times New Roman" w:hAnsi="Source Sans Pro"/>
          <w:sz w:val="20"/>
          <w:szCs w:val="20"/>
          <w:lang w:eastAsia="es-MX"/>
        </w:rPr>
      </w:pPr>
    </w:p>
    <w:p w14:paraId="66A4F56F"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Asimismo, la autorización para el uso del Distintivo de Circularidad se podrá revocar cuando la empresa no mantenga las condiciones de operación existentes al momento en que le fue otorgada o revalidada la autorización, o bien sea omisa en presentar los reportes de seguimiento anual o de modificación correspondientes, en los plazos establecidos.</w:t>
      </w:r>
    </w:p>
    <w:p w14:paraId="61688B9F" w14:textId="77777777" w:rsidR="00495CDF" w:rsidRPr="00495CDF" w:rsidRDefault="00495CDF" w:rsidP="00495CDF">
      <w:pPr>
        <w:contextualSpacing/>
        <w:jc w:val="both"/>
        <w:rPr>
          <w:rFonts w:ascii="Source Sans Pro" w:eastAsia="Times New Roman" w:hAnsi="Source Sans Pro"/>
          <w:sz w:val="20"/>
          <w:szCs w:val="20"/>
          <w:lang w:eastAsia="es-MX"/>
        </w:rPr>
      </w:pPr>
    </w:p>
    <w:p w14:paraId="02C14CF9"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Para los efectos a que se refiere este precepto, la Secretaría del Medio Ambiente, previo a acuerdo del Comité, emitirá una resolución debidamente fundada y motivada en la que haga constar las causas de la determinación.</w:t>
      </w:r>
    </w:p>
    <w:p w14:paraId="4CB2A9BF" w14:textId="77777777" w:rsidR="00495CDF" w:rsidRPr="00495CDF" w:rsidRDefault="00495CDF" w:rsidP="00495CDF">
      <w:pPr>
        <w:contextualSpacing/>
        <w:jc w:val="both"/>
        <w:rPr>
          <w:rFonts w:ascii="Source Sans Pro" w:eastAsia="Times New Roman" w:hAnsi="Source Sans Pro"/>
          <w:sz w:val="20"/>
          <w:szCs w:val="20"/>
          <w:lang w:eastAsia="es-MX"/>
        </w:rPr>
      </w:pPr>
    </w:p>
    <w:p w14:paraId="7D26F48E"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27.- </w:t>
      </w:r>
      <w:r w:rsidRPr="00495CDF">
        <w:rPr>
          <w:rFonts w:ascii="Source Sans Pro" w:eastAsia="Times New Roman" w:hAnsi="Source Sans Pro"/>
          <w:sz w:val="20"/>
          <w:szCs w:val="20"/>
          <w:lang w:eastAsia="es-MX"/>
        </w:rPr>
        <w:t>El incumplimiento de lo estipulado en el Manual de uso del diseño del Distintivo de Circularidad es causal de revocación del resultado de la Evaluación de Circularidad y de la autorización para el uso del Distintivo respectivo.</w:t>
      </w:r>
    </w:p>
    <w:p w14:paraId="5A80D934" w14:textId="77777777" w:rsidR="00495CDF" w:rsidRPr="00495CDF" w:rsidRDefault="00495CDF" w:rsidP="00495CDF">
      <w:pPr>
        <w:contextualSpacing/>
        <w:jc w:val="both"/>
        <w:rPr>
          <w:rFonts w:ascii="Source Sans Pro" w:eastAsia="Times New Roman" w:hAnsi="Source Sans Pro"/>
          <w:b/>
          <w:sz w:val="20"/>
          <w:szCs w:val="20"/>
          <w:lang w:eastAsia="es-MX"/>
        </w:rPr>
      </w:pPr>
    </w:p>
    <w:p w14:paraId="1C199634"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TÍTULO TERCERO</w:t>
      </w:r>
    </w:p>
    <w:p w14:paraId="1CA41B77" w14:textId="4AD73A91"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Programa de Economía Circular</w:t>
      </w:r>
    </w:p>
    <w:p w14:paraId="5EBE5E26" w14:textId="77777777" w:rsidR="00495CDF" w:rsidRPr="00495CDF" w:rsidRDefault="00495CDF" w:rsidP="00495CDF">
      <w:pPr>
        <w:contextualSpacing/>
        <w:jc w:val="both"/>
        <w:rPr>
          <w:rFonts w:ascii="Source Sans Pro" w:eastAsia="Times New Roman" w:hAnsi="Source Sans Pro"/>
          <w:b/>
          <w:sz w:val="20"/>
          <w:szCs w:val="20"/>
          <w:lang w:eastAsia="es-MX"/>
        </w:rPr>
      </w:pPr>
    </w:p>
    <w:p w14:paraId="482EC14E"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28.- </w:t>
      </w:r>
      <w:r w:rsidRPr="00495CDF">
        <w:rPr>
          <w:rFonts w:ascii="Source Sans Pro" w:eastAsia="Times New Roman" w:hAnsi="Source Sans Pro"/>
          <w:sz w:val="20"/>
          <w:szCs w:val="20"/>
          <w:lang w:eastAsia="es-MX"/>
        </w:rPr>
        <w:t>Para la elaboración del Programa de Economía Circular, la Secretaría del Medio Ambiente en coordinación con las Secretarías de Desarrollo Económico, del Trabajo y Fomento al Empleo y de Educación, Ciencia, Tecnología e Innovación, elaborará un documento base en el ámbito de sus respectivas competencias, tomando en cuenta la revisión de las opiniones de otras dependencias y entidades en función de sus competencias.</w:t>
      </w:r>
    </w:p>
    <w:p w14:paraId="44BA9D96" w14:textId="77777777" w:rsidR="00495CDF" w:rsidRPr="00495CDF" w:rsidRDefault="00495CDF" w:rsidP="00495CDF">
      <w:pPr>
        <w:contextualSpacing/>
        <w:jc w:val="both"/>
        <w:rPr>
          <w:rFonts w:ascii="Source Sans Pro" w:eastAsia="Times New Roman" w:hAnsi="Source Sans Pro"/>
          <w:sz w:val="20"/>
          <w:szCs w:val="20"/>
          <w:lang w:eastAsia="es-MX"/>
        </w:rPr>
      </w:pPr>
    </w:p>
    <w:p w14:paraId="463C4B93"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Las dependencias señaladas en este artículo podrán proponer adiciones o modificaciones al Programa. Las adiciones o modificaciones que hayan sido acordadas por dichas dependencias, serán sometidas a aprobación de la Jefatura de Gobierno por parte de la Secretaría del Medio Ambiente.</w:t>
      </w:r>
    </w:p>
    <w:p w14:paraId="122C1634" w14:textId="77777777" w:rsidR="00495CDF" w:rsidRPr="00495CDF" w:rsidRDefault="00495CDF" w:rsidP="00495CDF">
      <w:pPr>
        <w:contextualSpacing/>
        <w:jc w:val="both"/>
        <w:rPr>
          <w:rFonts w:ascii="Source Sans Pro" w:eastAsia="Times New Roman" w:hAnsi="Source Sans Pro"/>
          <w:sz w:val="20"/>
          <w:szCs w:val="20"/>
          <w:lang w:eastAsia="es-MX"/>
        </w:rPr>
      </w:pPr>
    </w:p>
    <w:p w14:paraId="405C8D86"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29.- </w:t>
      </w:r>
      <w:r w:rsidRPr="00495CDF">
        <w:rPr>
          <w:rFonts w:ascii="Source Sans Pro" w:eastAsia="Times New Roman" w:hAnsi="Source Sans Pro"/>
          <w:sz w:val="20"/>
          <w:szCs w:val="20"/>
          <w:lang w:eastAsia="es-MX"/>
        </w:rPr>
        <w:t>La Secretaría del Medio Ambiente será la autoridad encargada de realizar el seguimiento al cumplimiento de las acciones del programa, en coordinación con las Secretarías de Desarrollo Económico, del Trabajo y Fomento al Empleo y de Educación, Ciencia, Tecnología e Innovación.</w:t>
      </w:r>
    </w:p>
    <w:p w14:paraId="39AE3635" w14:textId="77777777" w:rsidR="00495CDF" w:rsidRDefault="00495CDF" w:rsidP="00495CDF">
      <w:pPr>
        <w:contextualSpacing/>
        <w:jc w:val="both"/>
        <w:rPr>
          <w:rFonts w:ascii="Source Sans Pro" w:eastAsia="Times New Roman" w:hAnsi="Source Sans Pro"/>
          <w:sz w:val="20"/>
          <w:szCs w:val="20"/>
          <w:lang w:eastAsia="es-MX"/>
        </w:rPr>
      </w:pPr>
    </w:p>
    <w:p w14:paraId="4E59C8FF" w14:textId="77777777" w:rsidR="00495CDF" w:rsidRPr="00495CDF" w:rsidRDefault="00495CDF" w:rsidP="00495CDF">
      <w:pPr>
        <w:contextualSpacing/>
        <w:jc w:val="both"/>
        <w:rPr>
          <w:rFonts w:ascii="Source Sans Pro" w:eastAsia="Times New Roman" w:hAnsi="Source Sans Pro"/>
          <w:sz w:val="20"/>
          <w:szCs w:val="20"/>
          <w:lang w:eastAsia="es-MX"/>
        </w:rPr>
      </w:pPr>
    </w:p>
    <w:p w14:paraId="6B6251A3" w14:textId="3DEEA371"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TÍTULO CUARTO</w:t>
      </w:r>
    </w:p>
    <w:p w14:paraId="0EEC560C" w14:textId="77777777" w:rsid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Red de Economía Circular de la Ciudad de México</w:t>
      </w:r>
    </w:p>
    <w:p w14:paraId="07B0D97A" w14:textId="17E6DE56" w:rsidR="00495CDF" w:rsidRPr="00495CDF" w:rsidRDefault="00495CDF" w:rsidP="00495CDF">
      <w:pPr>
        <w:contextualSpacing/>
        <w:jc w:val="both"/>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lastRenderedPageBreak/>
        <w:t xml:space="preserve">Artículo 30.- </w:t>
      </w:r>
      <w:r w:rsidRPr="00495CDF">
        <w:rPr>
          <w:rFonts w:ascii="Source Sans Pro" w:eastAsia="Times New Roman" w:hAnsi="Source Sans Pro"/>
          <w:sz w:val="20"/>
          <w:szCs w:val="20"/>
          <w:lang w:eastAsia="es-MX"/>
        </w:rPr>
        <w:t>Se conformará un equipo de trabajo colegiado y honorífico denominado Red de Economía Circular de la Ciudad de México. Este instrumento tendrá como objetivo la generación de soluciones basadas en la economía circular, a través de la colaboración del gobierno con los sectores académico, de investigación y privado.</w:t>
      </w:r>
    </w:p>
    <w:p w14:paraId="2693DAB0" w14:textId="77777777" w:rsidR="00495CDF" w:rsidRPr="00495CDF" w:rsidRDefault="00495CDF" w:rsidP="00495CDF">
      <w:pPr>
        <w:contextualSpacing/>
        <w:jc w:val="both"/>
        <w:rPr>
          <w:rFonts w:ascii="Source Sans Pro" w:eastAsia="Times New Roman" w:hAnsi="Source Sans Pro"/>
          <w:b/>
          <w:sz w:val="20"/>
          <w:szCs w:val="20"/>
          <w:lang w:eastAsia="es-MX"/>
        </w:rPr>
      </w:pPr>
    </w:p>
    <w:p w14:paraId="113962B7"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31.- </w:t>
      </w:r>
      <w:r w:rsidRPr="00495CDF">
        <w:rPr>
          <w:rFonts w:ascii="Source Sans Pro" w:eastAsia="Times New Roman" w:hAnsi="Source Sans Pro"/>
          <w:sz w:val="20"/>
          <w:szCs w:val="20"/>
          <w:lang w:eastAsia="es-MX"/>
        </w:rPr>
        <w:t>La Red estará integrada por:</w:t>
      </w:r>
    </w:p>
    <w:p w14:paraId="618CB29D" w14:textId="77777777" w:rsidR="00495CDF" w:rsidRPr="00495CDF" w:rsidRDefault="00495CDF" w:rsidP="00495CDF">
      <w:pPr>
        <w:contextualSpacing/>
        <w:jc w:val="both"/>
        <w:rPr>
          <w:rFonts w:ascii="Source Sans Pro" w:eastAsia="Times New Roman" w:hAnsi="Source Sans Pro"/>
          <w:sz w:val="20"/>
          <w:szCs w:val="20"/>
          <w:lang w:eastAsia="es-MX"/>
        </w:rPr>
      </w:pPr>
    </w:p>
    <w:p w14:paraId="6DAD0A59" w14:textId="36A40FBB" w:rsidR="00495CDF" w:rsidRPr="00495CDF" w:rsidRDefault="00495CDF" w:rsidP="00495CDF">
      <w:pPr>
        <w:pStyle w:val="Prrafodelista"/>
        <w:numPr>
          <w:ilvl w:val="0"/>
          <w:numId w:val="12"/>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Una persona representante de la Secretaría del Medio Ambiente y una persona representante de la Secretaría de Educación, Ciencia, Tecnología e Innovación, ambas con experiencia en la materia, quienes coordinarán la Red.</w:t>
      </w:r>
    </w:p>
    <w:p w14:paraId="2272E5F4" w14:textId="77777777" w:rsidR="00495CDF" w:rsidRPr="00495CDF" w:rsidRDefault="00495CDF" w:rsidP="00495CDF">
      <w:pPr>
        <w:contextualSpacing/>
        <w:jc w:val="both"/>
        <w:rPr>
          <w:rFonts w:ascii="Source Sans Pro" w:eastAsia="Times New Roman" w:hAnsi="Source Sans Pro"/>
          <w:sz w:val="20"/>
          <w:szCs w:val="20"/>
          <w:lang w:eastAsia="es-MX"/>
        </w:rPr>
      </w:pPr>
    </w:p>
    <w:p w14:paraId="2CEC9197" w14:textId="2AD01AEC" w:rsidR="00495CDF" w:rsidRPr="00495CDF" w:rsidRDefault="00495CDF" w:rsidP="00495CDF">
      <w:pPr>
        <w:pStyle w:val="Prrafodelista"/>
        <w:numPr>
          <w:ilvl w:val="0"/>
          <w:numId w:val="12"/>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Una persona representante de cada una de las siguientes dependencias y órganos que cuente con experiencia en la materia:</w:t>
      </w:r>
    </w:p>
    <w:p w14:paraId="0A9A206E" w14:textId="77777777" w:rsidR="00495CDF" w:rsidRPr="00495CDF" w:rsidRDefault="00495CDF" w:rsidP="00495CDF">
      <w:pPr>
        <w:contextualSpacing/>
        <w:jc w:val="both"/>
        <w:rPr>
          <w:rFonts w:ascii="Source Sans Pro" w:eastAsia="Times New Roman" w:hAnsi="Source Sans Pro"/>
          <w:sz w:val="20"/>
          <w:szCs w:val="20"/>
          <w:lang w:eastAsia="es-MX"/>
        </w:rPr>
      </w:pPr>
    </w:p>
    <w:p w14:paraId="55DAD5E1" w14:textId="34CF0115"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Agencia Digital de Innovación Pública;</w:t>
      </w:r>
    </w:p>
    <w:p w14:paraId="474C023D" w14:textId="3DC775A5"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Secretaría de Administración y Finanzas;</w:t>
      </w:r>
    </w:p>
    <w:p w14:paraId="49FEAE68" w14:textId="5B0C8CE3"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Secretaría de Desarrollo Económico;</w:t>
      </w:r>
    </w:p>
    <w:p w14:paraId="4A75BA3A" w14:textId="3DCEE1F0"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Secretaría de Desarrollo Urbano y Vivienda;</w:t>
      </w:r>
    </w:p>
    <w:p w14:paraId="217612DF" w14:textId="7FD28114"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Secretaría de Movilidad;</w:t>
      </w:r>
    </w:p>
    <w:p w14:paraId="49BEB9A5" w14:textId="2688F320"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Secretaría de Obras y Servicios;</w:t>
      </w:r>
    </w:p>
    <w:p w14:paraId="34E4D778" w14:textId="37DB0042"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Secretaría de Trabajo y Fomento al Empleo;</w:t>
      </w:r>
    </w:p>
    <w:p w14:paraId="4A2AD8FB" w14:textId="7581820C"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Secretaría de Turismo; y</w:t>
      </w:r>
    </w:p>
    <w:p w14:paraId="68D2EC79" w14:textId="644BAE36" w:rsidR="00495CDF" w:rsidRPr="00495CDF" w:rsidRDefault="00495CDF" w:rsidP="00495CDF">
      <w:pPr>
        <w:pStyle w:val="Prrafodelista"/>
        <w:numPr>
          <w:ilvl w:val="0"/>
          <w:numId w:val="13"/>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Otras dependencias o entidades que tengan competencia en materias relacionadas a la Economía Circular, y que sean invitadas por las dependencias coordinadoras de la Red.</w:t>
      </w:r>
    </w:p>
    <w:p w14:paraId="7EC6CF3F" w14:textId="77777777" w:rsidR="00495CDF" w:rsidRPr="00495CDF" w:rsidRDefault="00495CDF" w:rsidP="00495CDF">
      <w:pPr>
        <w:contextualSpacing/>
        <w:jc w:val="both"/>
        <w:rPr>
          <w:rFonts w:ascii="Source Sans Pro" w:eastAsia="Times New Roman" w:hAnsi="Source Sans Pro"/>
          <w:sz w:val="20"/>
          <w:szCs w:val="20"/>
          <w:lang w:eastAsia="es-MX"/>
        </w:rPr>
      </w:pPr>
    </w:p>
    <w:p w14:paraId="2C09964E"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Cada una de las dependencias y órganos integrantes designará un representante titular y un suplente.</w:t>
      </w:r>
    </w:p>
    <w:p w14:paraId="06D7EFE7" w14:textId="77777777" w:rsidR="00495CDF" w:rsidRPr="00495CDF" w:rsidRDefault="00495CDF" w:rsidP="00495CDF">
      <w:pPr>
        <w:contextualSpacing/>
        <w:jc w:val="both"/>
        <w:rPr>
          <w:rFonts w:ascii="Source Sans Pro" w:eastAsia="Times New Roman" w:hAnsi="Source Sans Pro"/>
          <w:b/>
          <w:sz w:val="20"/>
          <w:szCs w:val="20"/>
          <w:lang w:eastAsia="es-MX"/>
        </w:rPr>
      </w:pPr>
    </w:p>
    <w:p w14:paraId="251B21EC"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32.- </w:t>
      </w:r>
      <w:r w:rsidRPr="00495CDF">
        <w:rPr>
          <w:rFonts w:ascii="Source Sans Pro" w:eastAsia="Times New Roman" w:hAnsi="Source Sans Pro"/>
          <w:sz w:val="20"/>
          <w:szCs w:val="20"/>
          <w:lang w:eastAsia="es-MX"/>
        </w:rPr>
        <w:t>La Red podrá invitar como participantes a:</w:t>
      </w:r>
    </w:p>
    <w:p w14:paraId="1CF12CA2" w14:textId="77777777" w:rsidR="00495CDF" w:rsidRPr="00495CDF" w:rsidRDefault="00495CDF" w:rsidP="00495CDF">
      <w:pPr>
        <w:contextualSpacing/>
        <w:jc w:val="both"/>
        <w:rPr>
          <w:rFonts w:ascii="Source Sans Pro" w:eastAsia="Times New Roman" w:hAnsi="Source Sans Pro"/>
          <w:sz w:val="20"/>
          <w:szCs w:val="20"/>
          <w:lang w:eastAsia="es-MX"/>
        </w:rPr>
      </w:pPr>
    </w:p>
    <w:p w14:paraId="6B4A0AC8" w14:textId="3006CF51" w:rsidR="00495CDF" w:rsidRPr="00495CDF" w:rsidRDefault="00495CDF" w:rsidP="00495CDF">
      <w:pPr>
        <w:pStyle w:val="Prrafodelista"/>
        <w:numPr>
          <w:ilvl w:val="0"/>
          <w:numId w:val="15"/>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Representantes del sector privado, por conducto de asociaciones y cámaras de representación.</w:t>
      </w:r>
    </w:p>
    <w:p w14:paraId="128C82E2" w14:textId="77777777" w:rsidR="00495CDF" w:rsidRPr="00495CDF" w:rsidRDefault="00495CDF" w:rsidP="00495CDF">
      <w:pPr>
        <w:contextualSpacing/>
        <w:jc w:val="both"/>
        <w:rPr>
          <w:rFonts w:ascii="Source Sans Pro" w:eastAsia="Times New Roman" w:hAnsi="Source Sans Pro"/>
          <w:sz w:val="20"/>
          <w:szCs w:val="20"/>
          <w:lang w:eastAsia="es-MX"/>
        </w:rPr>
      </w:pPr>
    </w:p>
    <w:p w14:paraId="3385E50E" w14:textId="707679C1" w:rsidR="00495CDF" w:rsidRPr="00495CDF" w:rsidRDefault="00495CDF" w:rsidP="00495CDF">
      <w:pPr>
        <w:pStyle w:val="Prrafodelista"/>
        <w:numPr>
          <w:ilvl w:val="0"/>
          <w:numId w:val="15"/>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Instituciones de educación superior y de investigación, entre las cuales, al menos se invitará al Instituto Politécnico Nacional, la Universidad Nacional Autónoma de México, la Universidad Autónoma Metropolitana, la Universidad Autónoma de la Ciudad de México, la Universidad Rosario Castellanos de la Ciudad de México y la Universidad de la Salud de la Ciudad de México.</w:t>
      </w:r>
    </w:p>
    <w:p w14:paraId="32B11278" w14:textId="77777777" w:rsidR="00495CDF" w:rsidRPr="00495CDF" w:rsidRDefault="00495CDF" w:rsidP="00495CDF">
      <w:pPr>
        <w:contextualSpacing/>
        <w:jc w:val="both"/>
        <w:rPr>
          <w:rFonts w:ascii="Source Sans Pro" w:eastAsia="Times New Roman" w:hAnsi="Source Sans Pro"/>
          <w:sz w:val="20"/>
          <w:szCs w:val="20"/>
          <w:lang w:eastAsia="es-MX"/>
        </w:rPr>
      </w:pPr>
    </w:p>
    <w:p w14:paraId="4E1E4AE7" w14:textId="270C1490" w:rsidR="00495CDF" w:rsidRPr="00495CDF" w:rsidRDefault="00495CDF" w:rsidP="00495CDF">
      <w:pPr>
        <w:pStyle w:val="Prrafodelista"/>
        <w:numPr>
          <w:ilvl w:val="0"/>
          <w:numId w:val="15"/>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Organizaciones de la Sociedad Civil especializadas en economía circular y temáticas afines.</w:t>
      </w:r>
    </w:p>
    <w:p w14:paraId="7B2C5A6E" w14:textId="77777777" w:rsidR="00495CDF" w:rsidRPr="00495CDF" w:rsidRDefault="00495CDF" w:rsidP="00495CDF">
      <w:pPr>
        <w:contextualSpacing/>
        <w:jc w:val="both"/>
        <w:rPr>
          <w:rFonts w:ascii="Source Sans Pro" w:eastAsia="Times New Roman" w:hAnsi="Source Sans Pro"/>
          <w:sz w:val="20"/>
          <w:szCs w:val="20"/>
          <w:lang w:eastAsia="es-MX"/>
        </w:rPr>
      </w:pPr>
    </w:p>
    <w:p w14:paraId="6F9617FB" w14:textId="77777777" w:rsidR="00495CDF" w:rsidRPr="00495CDF" w:rsidRDefault="00495CDF" w:rsidP="00495CDF">
      <w:pPr>
        <w:contextualSpacing/>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33.- </w:t>
      </w:r>
      <w:r w:rsidRPr="00495CDF">
        <w:rPr>
          <w:rFonts w:ascii="Source Sans Pro" w:eastAsia="Times New Roman" w:hAnsi="Source Sans Pro"/>
          <w:sz w:val="20"/>
          <w:szCs w:val="20"/>
          <w:lang w:eastAsia="es-MX"/>
        </w:rPr>
        <w:t>La Red tendrá las siguientes funciones:</w:t>
      </w:r>
    </w:p>
    <w:p w14:paraId="6C22F948" w14:textId="77777777" w:rsidR="00495CDF" w:rsidRPr="00495CDF" w:rsidRDefault="00495CDF" w:rsidP="00495CDF">
      <w:pPr>
        <w:contextualSpacing/>
        <w:jc w:val="both"/>
        <w:rPr>
          <w:rFonts w:ascii="Source Sans Pro" w:eastAsia="Times New Roman" w:hAnsi="Source Sans Pro"/>
          <w:sz w:val="20"/>
          <w:szCs w:val="20"/>
          <w:lang w:eastAsia="es-MX"/>
        </w:rPr>
      </w:pPr>
    </w:p>
    <w:p w14:paraId="14C23E2A" w14:textId="11E5D743" w:rsidR="00495CDF" w:rsidRPr="00495CDF" w:rsidRDefault="00495CDF" w:rsidP="00495CDF">
      <w:pPr>
        <w:pStyle w:val="Prrafodelista"/>
        <w:numPr>
          <w:ilvl w:val="0"/>
          <w:numId w:val="1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Elaborar y emitir los Lineamientos de Operación para su funcionamiento, los cuales incluirán la manera en la que se tomarán los acuerdos por parte de sus integrantes.</w:t>
      </w:r>
    </w:p>
    <w:p w14:paraId="7AD7803C" w14:textId="77777777" w:rsidR="00495CDF" w:rsidRPr="00495CDF" w:rsidRDefault="00495CDF" w:rsidP="00495CDF">
      <w:pPr>
        <w:contextualSpacing/>
        <w:jc w:val="both"/>
        <w:rPr>
          <w:rFonts w:ascii="Source Sans Pro" w:eastAsia="Times New Roman" w:hAnsi="Source Sans Pro"/>
          <w:sz w:val="20"/>
          <w:szCs w:val="20"/>
          <w:lang w:eastAsia="es-MX"/>
        </w:rPr>
      </w:pPr>
    </w:p>
    <w:p w14:paraId="385F79BB" w14:textId="056B7827" w:rsidR="00495CDF" w:rsidRPr="00495CDF" w:rsidRDefault="00495CDF" w:rsidP="00495CDF">
      <w:pPr>
        <w:pStyle w:val="Prrafodelista"/>
        <w:numPr>
          <w:ilvl w:val="0"/>
          <w:numId w:val="1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Generar una estrategia para contar con una línea base sobre las condiciones de circularidad de la ciudad, que permita dar seguimiento a los avances en la transición hacia la economía circular en la ciudad.</w:t>
      </w:r>
    </w:p>
    <w:p w14:paraId="41CDBF32" w14:textId="77777777" w:rsidR="00495CDF" w:rsidRPr="00495CDF" w:rsidRDefault="00495CDF" w:rsidP="00495CDF">
      <w:pPr>
        <w:contextualSpacing/>
        <w:jc w:val="both"/>
        <w:rPr>
          <w:rFonts w:ascii="Source Sans Pro" w:eastAsia="Times New Roman" w:hAnsi="Source Sans Pro"/>
          <w:sz w:val="20"/>
          <w:szCs w:val="20"/>
          <w:lang w:eastAsia="es-MX"/>
        </w:rPr>
      </w:pPr>
    </w:p>
    <w:p w14:paraId="0D2CA6DA" w14:textId="091D387B" w:rsidR="00495CDF" w:rsidRPr="00495CDF" w:rsidRDefault="00495CDF" w:rsidP="00495CDF">
      <w:pPr>
        <w:pStyle w:val="Prrafodelista"/>
        <w:numPr>
          <w:ilvl w:val="0"/>
          <w:numId w:val="1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Identificar áreas y problemáticas de atención prioritaria para ser abordadas con soluciones basadas en la economía circular.</w:t>
      </w:r>
    </w:p>
    <w:p w14:paraId="0509A9D4" w14:textId="77777777" w:rsidR="00495CDF" w:rsidRPr="00495CDF" w:rsidRDefault="00495CDF" w:rsidP="00495CDF">
      <w:pPr>
        <w:contextualSpacing/>
        <w:jc w:val="both"/>
        <w:rPr>
          <w:rFonts w:ascii="Source Sans Pro" w:eastAsia="Times New Roman" w:hAnsi="Source Sans Pro"/>
          <w:sz w:val="20"/>
          <w:szCs w:val="20"/>
          <w:lang w:eastAsia="es-MX"/>
        </w:rPr>
      </w:pPr>
    </w:p>
    <w:p w14:paraId="5EC4D912" w14:textId="721230F4" w:rsidR="00495CDF" w:rsidRPr="00495CDF" w:rsidRDefault="00495CDF" w:rsidP="00495CDF">
      <w:pPr>
        <w:pStyle w:val="Prrafodelista"/>
        <w:numPr>
          <w:ilvl w:val="0"/>
          <w:numId w:val="1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lastRenderedPageBreak/>
        <w:t>Desarrollar estrategias y acciones para promover proyectos y establecer alianzas entre el sector privado, el gobierno y la sociedad civil, para fomentar la innovación y el desarrollo tecnológico de soluciones basadas en la economía circular que contribuyan a atender las problemáticas de atención prioritaria.</w:t>
      </w:r>
    </w:p>
    <w:p w14:paraId="40C86413" w14:textId="77777777" w:rsidR="00495CDF" w:rsidRPr="00495CDF" w:rsidRDefault="00495CDF" w:rsidP="00495CDF">
      <w:pPr>
        <w:contextualSpacing/>
        <w:jc w:val="both"/>
        <w:rPr>
          <w:rFonts w:ascii="Source Sans Pro" w:eastAsia="Times New Roman" w:hAnsi="Source Sans Pro"/>
          <w:sz w:val="20"/>
          <w:szCs w:val="20"/>
          <w:lang w:eastAsia="es-MX"/>
        </w:rPr>
      </w:pPr>
    </w:p>
    <w:p w14:paraId="62B41341" w14:textId="2B792BDB" w:rsidR="00495CDF" w:rsidRPr="00495CDF" w:rsidRDefault="00495CDF" w:rsidP="00495CDF">
      <w:pPr>
        <w:pStyle w:val="Prrafodelista"/>
        <w:numPr>
          <w:ilvl w:val="0"/>
          <w:numId w:val="1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Buscar mecanismos de financiamiento que apoyen a los proyectos y acciones de economía circular definidos por la Red.</w:t>
      </w:r>
    </w:p>
    <w:p w14:paraId="31538319" w14:textId="77777777" w:rsidR="00495CDF" w:rsidRPr="00495CDF" w:rsidRDefault="00495CDF" w:rsidP="00495CDF">
      <w:pPr>
        <w:contextualSpacing/>
        <w:jc w:val="both"/>
        <w:rPr>
          <w:rFonts w:ascii="Source Sans Pro" w:eastAsia="Times New Roman" w:hAnsi="Source Sans Pro"/>
          <w:sz w:val="20"/>
          <w:szCs w:val="20"/>
          <w:lang w:eastAsia="es-MX"/>
        </w:rPr>
      </w:pPr>
    </w:p>
    <w:p w14:paraId="6BD931CB" w14:textId="73036346" w:rsidR="00495CDF" w:rsidRPr="00495CDF" w:rsidRDefault="00495CDF" w:rsidP="00495CDF">
      <w:pPr>
        <w:pStyle w:val="Prrafodelista"/>
        <w:numPr>
          <w:ilvl w:val="0"/>
          <w:numId w:val="1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Desarrollar y ejecutar una estrategia integral de sensibilización y educación para la producción y consumo responsable bajo la óptica de la economía circular, dirigida a las y los habitantes de la Ciudad de México, así como al sector privado.</w:t>
      </w:r>
    </w:p>
    <w:p w14:paraId="06581F2D" w14:textId="77777777" w:rsidR="00495CDF" w:rsidRPr="00495CDF" w:rsidRDefault="00495CDF" w:rsidP="00495CDF">
      <w:pPr>
        <w:contextualSpacing/>
        <w:jc w:val="both"/>
        <w:rPr>
          <w:rFonts w:ascii="Source Sans Pro" w:eastAsia="Times New Roman" w:hAnsi="Source Sans Pro"/>
          <w:sz w:val="20"/>
          <w:szCs w:val="20"/>
          <w:lang w:eastAsia="es-MX"/>
        </w:rPr>
      </w:pPr>
    </w:p>
    <w:p w14:paraId="7DB0C082" w14:textId="16EAAA3E" w:rsidR="00495CDF" w:rsidRPr="00495CDF" w:rsidRDefault="00495CDF" w:rsidP="00495CDF">
      <w:pPr>
        <w:pStyle w:val="Prrafodelista"/>
        <w:numPr>
          <w:ilvl w:val="0"/>
          <w:numId w:val="16"/>
        </w:numPr>
        <w:jc w:val="both"/>
        <w:rPr>
          <w:rFonts w:ascii="Source Sans Pro" w:eastAsia="Times New Roman" w:hAnsi="Source Sans Pro"/>
          <w:sz w:val="20"/>
          <w:szCs w:val="20"/>
          <w:lang w:eastAsia="es-MX"/>
        </w:rPr>
      </w:pPr>
      <w:r w:rsidRPr="00495CDF">
        <w:rPr>
          <w:rFonts w:ascii="Source Sans Pro" w:eastAsia="Times New Roman" w:hAnsi="Source Sans Pro"/>
          <w:sz w:val="20"/>
          <w:szCs w:val="20"/>
          <w:lang w:eastAsia="es-MX"/>
        </w:rPr>
        <w:t>Desarrollar y ejecutar una estrategia de divulgación y comunicación propia de la Red, con enfoques y contenidos sustentados en los resultados de la Red, así como en la información sobre las mejores prácticas y los beneficios de la economía circular. La estrategia se llevará a cabo a través de las redes sociales de la Red y de las dependencias que participan en la Red, así como en el Sistema de Información Pública de Economía Circular.</w:t>
      </w:r>
    </w:p>
    <w:p w14:paraId="00D64027" w14:textId="77777777" w:rsidR="00495CDF" w:rsidRPr="00495CDF" w:rsidRDefault="00495CDF" w:rsidP="00495CDF">
      <w:pPr>
        <w:contextualSpacing/>
        <w:jc w:val="both"/>
        <w:rPr>
          <w:rFonts w:ascii="Source Sans Pro" w:eastAsia="Times New Roman" w:hAnsi="Source Sans Pro"/>
          <w:sz w:val="20"/>
          <w:szCs w:val="20"/>
          <w:lang w:eastAsia="es-MX"/>
        </w:rPr>
      </w:pPr>
    </w:p>
    <w:p w14:paraId="698B1319" w14:textId="2C6B0E35" w:rsidR="00495CDF" w:rsidRPr="00495CDF" w:rsidRDefault="00495CDF" w:rsidP="00495CDF">
      <w:pPr>
        <w:jc w:val="both"/>
        <w:rPr>
          <w:rFonts w:ascii="Source Sans Pro" w:eastAsia="Times New Roman" w:hAnsi="Source Sans Pro"/>
          <w:sz w:val="20"/>
          <w:szCs w:val="20"/>
          <w:lang w:eastAsia="es-MX"/>
        </w:rPr>
      </w:pPr>
      <w:r w:rsidRPr="00495CDF">
        <w:rPr>
          <w:rFonts w:ascii="Source Sans Pro" w:eastAsia="Times New Roman" w:hAnsi="Source Sans Pro"/>
          <w:b/>
          <w:sz w:val="20"/>
          <w:szCs w:val="20"/>
          <w:lang w:eastAsia="es-MX"/>
        </w:rPr>
        <w:t xml:space="preserve">Artículo 34.- </w:t>
      </w:r>
      <w:r w:rsidRPr="00495CDF">
        <w:rPr>
          <w:rFonts w:ascii="Source Sans Pro" w:eastAsia="Times New Roman" w:hAnsi="Source Sans Pro"/>
          <w:sz w:val="20"/>
          <w:szCs w:val="20"/>
          <w:lang w:eastAsia="es-MX"/>
        </w:rPr>
        <w:t xml:space="preserve">La Red sesionará ordinariamente al menos cada tres meses y podrá </w:t>
      </w:r>
      <w:r w:rsidRPr="00495CDF">
        <w:rPr>
          <w:rFonts w:ascii="Source Sans Pro" w:hAnsi="Source Sans Pro"/>
          <w:sz w:val="20"/>
          <w:szCs w:val="20"/>
          <w:lang w:eastAsia="es-MX"/>
        </w:rPr>
        <w:t>sesionar de manera extraordinaria las veces que sean necesarias para el cumplimiento de sus funciones, así como</w:t>
      </w:r>
      <w:r w:rsidRPr="00495CDF">
        <w:rPr>
          <w:rFonts w:ascii="Source Sans Pro" w:eastAsia="Times New Roman" w:hAnsi="Source Sans Pro"/>
          <w:sz w:val="20"/>
          <w:szCs w:val="20"/>
          <w:lang w:eastAsia="es-MX"/>
        </w:rPr>
        <w:t xml:space="preserve"> conformar grupos de trabajo que lleven a cabo reuniones de acuerdo con las necesidades identificadas y las acciones planeadas</w:t>
      </w:r>
      <w:r>
        <w:rPr>
          <w:rFonts w:ascii="Source Sans Pro" w:eastAsia="Times New Roman" w:hAnsi="Source Sans Pro"/>
          <w:sz w:val="20"/>
          <w:szCs w:val="20"/>
          <w:lang w:eastAsia="es-MX"/>
        </w:rPr>
        <w:t>.</w:t>
      </w:r>
    </w:p>
    <w:p w14:paraId="6B5AB1D5" w14:textId="77777777" w:rsidR="00495CDF" w:rsidRPr="00495CDF" w:rsidRDefault="00495CDF" w:rsidP="00495CDF">
      <w:pPr>
        <w:jc w:val="both"/>
        <w:rPr>
          <w:rFonts w:ascii="Source Sans Pro" w:eastAsia="Times New Roman" w:hAnsi="Source Sans Pro"/>
          <w:sz w:val="20"/>
          <w:szCs w:val="20"/>
          <w:lang w:eastAsia="es-MX"/>
        </w:rPr>
      </w:pPr>
    </w:p>
    <w:p w14:paraId="5FCD72CD" w14:textId="77777777" w:rsidR="00495CDF" w:rsidRPr="00495CDF" w:rsidRDefault="00495CDF" w:rsidP="00495CDF">
      <w:pPr>
        <w:contextualSpacing/>
        <w:jc w:val="center"/>
        <w:rPr>
          <w:rFonts w:ascii="Source Sans Pro" w:eastAsia="Times New Roman" w:hAnsi="Source Sans Pro"/>
          <w:b/>
          <w:sz w:val="20"/>
          <w:szCs w:val="20"/>
          <w:lang w:eastAsia="es-MX"/>
        </w:rPr>
      </w:pPr>
      <w:r w:rsidRPr="00495CDF">
        <w:rPr>
          <w:rFonts w:ascii="Source Sans Pro" w:eastAsia="Times New Roman" w:hAnsi="Source Sans Pro"/>
          <w:b/>
          <w:sz w:val="20"/>
          <w:szCs w:val="20"/>
          <w:lang w:eastAsia="es-MX"/>
        </w:rPr>
        <w:t>TRANSITORIOS</w:t>
      </w:r>
    </w:p>
    <w:p w14:paraId="67BA084C" w14:textId="77777777" w:rsidR="00495CDF" w:rsidRPr="00495CDF" w:rsidRDefault="00495CDF" w:rsidP="00495CDF">
      <w:pPr>
        <w:contextualSpacing/>
        <w:jc w:val="both"/>
        <w:rPr>
          <w:rFonts w:ascii="Source Sans Pro" w:eastAsia="Times New Roman" w:hAnsi="Source Sans Pro"/>
          <w:b/>
          <w:sz w:val="20"/>
          <w:szCs w:val="20"/>
          <w:lang w:eastAsia="es-MX"/>
        </w:rPr>
      </w:pPr>
    </w:p>
    <w:p w14:paraId="66DD460A" w14:textId="77777777" w:rsidR="00495CDF" w:rsidRPr="00495CDF" w:rsidRDefault="00495CDF" w:rsidP="00495CDF">
      <w:pPr>
        <w:contextualSpacing/>
        <w:jc w:val="both"/>
        <w:rPr>
          <w:rFonts w:ascii="Source Sans Pro" w:eastAsia="Times New Roman" w:hAnsi="Source Sans Pro"/>
          <w:sz w:val="20"/>
          <w:szCs w:val="20"/>
          <w:lang w:eastAsia="es-MX"/>
        </w:rPr>
      </w:pPr>
      <w:proofErr w:type="gramStart"/>
      <w:r w:rsidRPr="00495CDF">
        <w:rPr>
          <w:rFonts w:ascii="Source Sans Pro" w:eastAsia="Times New Roman" w:hAnsi="Source Sans Pro"/>
          <w:b/>
          <w:sz w:val="20"/>
          <w:szCs w:val="20"/>
          <w:lang w:eastAsia="es-MX"/>
        </w:rPr>
        <w:t>PRIMERO.-</w:t>
      </w:r>
      <w:proofErr w:type="gramEnd"/>
      <w:r w:rsidRPr="00495CDF">
        <w:rPr>
          <w:rFonts w:ascii="Source Sans Pro" w:eastAsia="Times New Roman" w:hAnsi="Source Sans Pro"/>
          <w:b/>
          <w:sz w:val="20"/>
          <w:szCs w:val="20"/>
          <w:lang w:eastAsia="es-MX"/>
        </w:rPr>
        <w:t xml:space="preserve"> </w:t>
      </w:r>
      <w:r w:rsidRPr="00495CDF">
        <w:rPr>
          <w:rFonts w:ascii="Source Sans Pro" w:eastAsia="Times New Roman" w:hAnsi="Source Sans Pro"/>
          <w:sz w:val="20"/>
          <w:szCs w:val="20"/>
          <w:lang w:eastAsia="es-MX"/>
        </w:rPr>
        <w:t>Publíquese en la Gaceta Oficial de la Ciudad de México.</w:t>
      </w:r>
    </w:p>
    <w:p w14:paraId="51D4E631" w14:textId="77777777" w:rsidR="00495CDF" w:rsidRPr="00495CDF" w:rsidRDefault="00495CDF" w:rsidP="00495CDF">
      <w:pPr>
        <w:contextualSpacing/>
        <w:jc w:val="both"/>
        <w:rPr>
          <w:rFonts w:ascii="Source Sans Pro" w:eastAsia="Times New Roman" w:hAnsi="Source Sans Pro"/>
          <w:sz w:val="20"/>
          <w:szCs w:val="20"/>
          <w:lang w:eastAsia="es-MX"/>
        </w:rPr>
      </w:pPr>
    </w:p>
    <w:p w14:paraId="6F8FC99A" w14:textId="77777777" w:rsidR="00495CDF" w:rsidRPr="00495CDF" w:rsidRDefault="00495CDF" w:rsidP="00495CDF">
      <w:pPr>
        <w:contextualSpacing/>
        <w:jc w:val="both"/>
        <w:rPr>
          <w:rFonts w:ascii="Source Sans Pro" w:eastAsia="Times New Roman" w:hAnsi="Source Sans Pro"/>
          <w:sz w:val="20"/>
          <w:szCs w:val="20"/>
          <w:lang w:eastAsia="es-MX"/>
        </w:rPr>
      </w:pPr>
      <w:proofErr w:type="gramStart"/>
      <w:r w:rsidRPr="00495CDF">
        <w:rPr>
          <w:rFonts w:ascii="Source Sans Pro" w:eastAsia="Times New Roman" w:hAnsi="Source Sans Pro"/>
          <w:b/>
          <w:sz w:val="20"/>
          <w:szCs w:val="20"/>
          <w:lang w:eastAsia="es-MX"/>
        </w:rPr>
        <w:t>SEGUNDO.-</w:t>
      </w:r>
      <w:proofErr w:type="gramEnd"/>
      <w:r w:rsidRPr="00495CDF">
        <w:rPr>
          <w:rFonts w:ascii="Source Sans Pro" w:eastAsia="Times New Roman" w:hAnsi="Source Sans Pro"/>
          <w:b/>
          <w:sz w:val="20"/>
          <w:szCs w:val="20"/>
          <w:lang w:eastAsia="es-MX"/>
        </w:rPr>
        <w:t xml:space="preserve"> </w:t>
      </w:r>
      <w:r w:rsidRPr="00495CDF">
        <w:rPr>
          <w:rFonts w:ascii="Source Sans Pro" w:eastAsia="Times New Roman" w:hAnsi="Source Sans Pro"/>
          <w:sz w:val="20"/>
          <w:szCs w:val="20"/>
          <w:lang w:eastAsia="es-MX"/>
        </w:rPr>
        <w:t>El presente Reglamento entrará en vigor al día siguiente de su publicación en la Gaceta Oficial de la Ciudad de México.</w:t>
      </w:r>
    </w:p>
    <w:p w14:paraId="7A36170C" w14:textId="77777777" w:rsidR="00495CDF" w:rsidRPr="00495CDF" w:rsidRDefault="00495CDF" w:rsidP="00495CDF">
      <w:pPr>
        <w:contextualSpacing/>
        <w:jc w:val="both"/>
        <w:rPr>
          <w:rFonts w:ascii="Source Sans Pro" w:eastAsia="Times New Roman" w:hAnsi="Source Sans Pro"/>
          <w:b/>
          <w:sz w:val="20"/>
          <w:szCs w:val="20"/>
          <w:lang w:eastAsia="es-MX"/>
        </w:rPr>
      </w:pPr>
    </w:p>
    <w:p w14:paraId="081F1C2D" w14:textId="77777777" w:rsidR="00495CDF" w:rsidRPr="00495CDF" w:rsidRDefault="00495CDF" w:rsidP="00495CDF">
      <w:pPr>
        <w:contextualSpacing/>
        <w:jc w:val="both"/>
        <w:rPr>
          <w:rFonts w:ascii="Source Sans Pro" w:eastAsia="Times New Roman" w:hAnsi="Source Sans Pro"/>
          <w:sz w:val="20"/>
          <w:szCs w:val="20"/>
          <w:lang w:eastAsia="es-MX"/>
        </w:rPr>
      </w:pPr>
      <w:proofErr w:type="gramStart"/>
      <w:r w:rsidRPr="00495CDF">
        <w:rPr>
          <w:rFonts w:ascii="Source Sans Pro" w:eastAsia="Times New Roman" w:hAnsi="Source Sans Pro"/>
          <w:b/>
          <w:sz w:val="20"/>
          <w:szCs w:val="20"/>
          <w:lang w:eastAsia="es-MX"/>
        </w:rPr>
        <w:t>TERCERO.-</w:t>
      </w:r>
      <w:proofErr w:type="gramEnd"/>
      <w:r w:rsidRPr="00495CDF">
        <w:rPr>
          <w:rFonts w:ascii="Source Sans Pro" w:eastAsia="Times New Roman" w:hAnsi="Source Sans Pro"/>
          <w:b/>
          <w:sz w:val="20"/>
          <w:szCs w:val="20"/>
          <w:lang w:eastAsia="es-MX"/>
        </w:rPr>
        <w:t xml:space="preserve"> </w:t>
      </w:r>
      <w:r w:rsidRPr="00495CDF">
        <w:rPr>
          <w:rFonts w:ascii="Source Sans Pro" w:eastAsia="Times New Roman" w:hAnsi="Source Sans Pro"/>
          <w:sz w:val="20"/>
          <w:szCs w:val="20"/>
          <w:lang w:eastAsia="es-MX"/>
        </w:rPr>
        <w:t>El Programa de Economía Circular de la Ciudad de México, deberá ser expedido en un plazo no mayor de 90 días naturales posteriores a la entrada en vigor del presente Reglamento.</w:t>
      </w:r>
    </w:p>
    <w:p w14:paraId="2C88A4B8" w14:textId="77777777" w:rsidR="00495CDF" w:rsidRPr="00495CDF" w:rsidRDefault="00495CDF" w:rsidP="00495CDF">
      <w:pPr>
        <w:contextualSpacing/>
        <w:jc w:val="both"/>
        <w:rPr>
          <w:rFonts w:ascii="Source Sans Pro" w:eastAsia="Times New Roman" w:hAnsi="Source Sans Pro"/>
          <w:sz w:val="20"/>
          <w:szCs w:val="20"/>
          <w:lang w:eastAsia="es-MX"/>
        </w:rPr>
      </w:pPr>
    </w:p>
    <w:p w14:paraId="1123ED6E" w14:textId="77777777" w:rsidR="00495CDF" w:rsidRDefault="00495CDF" w:rsidP="00495CDF">
      <w:pPr>
        <w:contextualSpacing/>
        <w:jc w:val="both"/>
        <w:rPr>
          <w:rFonts w:ascii="Source Sans Pro" w:eastAsia="Times New Roman" w:hAnsi="Source Sans Pro"/>
          <w:sz w:val="20"/>
          <w:szCs w:val="20"/>
          <w:lang w:eastAsia="es-MX"/>
        </w:rPr>
      </w:pPr>
      <w:proofErr w:type="gramStart"/>
      <w:r w:rsidRPr="00495CDF">
        <w:rPr>
          <w:rFonts w:ascii="Source Sans Pro" w:eastAsia="Times New Roman" w:hAnsi="Source Sans Pro"/>
          <w:b/>
          <w:sz w:val="20"/>
          <w:szCs w:val="20"/>
          <w:lang w:eastAsia="es-MX"/>
        </w:rPr>
        <w:t>CUARTO.-</w:t>
      </w:r>
      <w:proofErr w:type="gramEnd"/>
      <w:r w:rsidRPr="00495CDF">
        <w:rPr>
          <w:rFonts w:ascii="Source Sans Pro" w:eastAsia="Times New Roman" w:hAnsi="Source Sans Pro"/>
          <w:sz w:val="20"/>
          <w:szCs w:val="20"/>
          <w:lang w:eastAsia="es-MX"/>
        </w:rPr>
        <w:t xml:space="preserve"> La Jefatura de Gobierno de la Ciudad de México emitirá el acuerdo necesario para la creación del Comité en un plazo de 90 días naturales posteriores a la entrada en vigor del presente Reglamento.</w:t>
      </w:r>
    </w:p>
    <w:p w14:paraId="214A5C9B" w14:textId="77777777" w:rsidR="00495CDF" w:rsidRPr="00495CDF" w:rsidRDefault="00495CDF" w:rsidP="00495CDF">
      <w:pPr>
        <w:contextualSpacing/>
        <w:jc w:val="both"/>
        <w:rPr>
          <w:rFonts w:ascii="Source Sans Pro" w:eastAsia="Times New Roman" w:hAnsi="Source Sans Pro"/>
          <w:sz w:val="20"/>
          <w:szCs w:val="20"/>
          <w:lang w:eastAsia="es-MX"/>
        </w:rPr>
      </w:pPr>
    </w:p>
    <w:p w14:paraId="187AFB61" w14:textId="61DDA386" w:rsidR="00495CDF" w:rsidRPr="00495CDF" w:rsidRDefault="00495CDF" w:rsidP="00495CDF">
      <w:pPr>
        <w:contextualSpacing/>
        <w:jc w:val="both"/>
        <w:rPr>
          <w:rFonts w:ascii="Source Sans Pro" w:eastAsia="Times New Roman" w:hAnsi="Source Sans Pro"/>
          <w:sz w:val="20"/>
          <w:szCs w:val="20"/>
          <w:lang w:eastAsia="es-MX"/>
        </w:rPr>
      </w:pPr>
      <w:proofErr w:type="gramStart"/>
      <w:r w:rsidRPr="00495CDF">
        <w:rPr>
          <w:rFonts w:ascii="Source Sans Pro" w:eastAsia="Times New Roman" w:hAnsi="Source Sans Pro"/>
          <w:b/>
          <w:sz w:val="20"/>
          <w:szCs w:val="20"/>
          <w:lang w:eastAsia="es-MX"/>
        </w:rPr>
        <w:t>QUINTO.-</w:t>
      </w:r>
      <w:proofErr w:type="gramEnd"/>
      <w:r w:rsidRPr="00495CDF">
        <w:rPr>
          <w:rFonts w:ascii="Source Sans Pro" w:eastAsia="Times New Roman" w:hAnsi="Source Sans Pro"/>
          <w:sz w:val="20"/>
          <w:szCs w:val="20"/>
          <w:lang w:eastAsia="es-MX"/>
        </w:rPr>
        <w:t xml:space="preserve"> Se contará con un plazo de 120 días naturales posteriores a la entrada en vigor del presente Reglamento, para expedir los Lineamientos.</w:t>
      </w:r>
    </w:p>
    <w:p w14:paraId="410A72E8" w14:textId="77777777" w:rsidR="00495CDF" w:rsidRPr="00495CDF" w:rsidRDefault="00495CDF" w:rsidP="00495CDF">
      <w:pPr>
        <w:contextualSpacing/>
        <w:jc w:val="both"/>
        <w:rPr>
          <w:rFonts w:ascii="Source Sans Pro" w:eastAsia="Times New Roman" w:hAnsi="Source Sans Pro"/>
          <w:sz w:val="20"/>
          <w:szCs w:val="20"/>
          <w:lang w:eastAsia="es-MX"/>
        </w:rPr>
      </w:pPr>
    </w:p>
    <w:p w14:paraId="48E710BD" w14:textId="77777777" w:rsidR="00495CDF" w:rsidRPr="00495CDF" w:rsidRDefault="00495CDF" w:rsidP="00495CDF">
      <w:pPr>
        <w:contextualSpacing/>
        <w:jc w:val="both"/>
        <w:rPr>
          <w:rFonts w:ascii="Source Sans Pro" w:eastAsia="Times New Roman" w:hAnsi="Source Sans Pro"/>
          <w:sz w:val="20"/>
          <w:szCs w:val="20"/>
          <w:lang w:eastAsia="es-MX"/>
        </w:rPr>
      </w:pPr>
      <w:proofErr w:type="gramStart"/>
      <w:r w:rsidRPr="00495CDF">
        <w:rPr>
          <w:rFonts w:ascii="Source Sans Pro" w:eastAsia="Times New Roman" w:hAnsi="Source Sans Pro"/>
          <w:b/>
          <w:sz w:val="20"/>
          <w:szCs w:val="20"/>
          <w:lang w:eastAsia="es-MX"/>
        </w:rPr>
        <w:t>SEXTO.-</w:t>
      </w:r>
      <w:proofErr w:type="gramEnd"/>
      <w:r w:rsidRPr="00495CDF">
        <w:rPr>
          <w:rFonts w:ascii="Source Sans Pro" w:eastAsia="Times New Roman" w:hAnsi="Source Sans Pro"/>
          <w:b/>
          <w:sz w:val="20"/>
          <w:szCs w:val="20"/>
          <w:lang w:eastAsia="es-MX"/>
        </w:rPr>
        <w:t xml:space="preserve"> </w:t>
      </w:r>
      <w:r w:rsidRPr="00495CDF">
        <w:rPr>
          <w:rFonts w:ascii="Source Sans Pro" w:eastAsia="Times New Roman" w:hAnsi="Source Sans Pro"/>
          <w:sz w:val="20"/>
          <w:szCs w:val="20"/>
          <w:lang w:eastAsia="es-MX"/>
        </w:rPr>
        <w:t>El instrumento de la Evaluación de Circularidad podrá ser aplicado una vez creado el Comité y aprobados los Lineamientos correspondientes.</w:t>
      </w:r>
    </w:p>
    <w:p w14:paraId="6379F00F" w14:textId="77777777" w:rsidR="00495CDF" w:rsidRPr="00495CDF" w:rsidRDefault="00495CDF" w:rsidP="00495CDF">
      <w:pPr>
        <w:contextualSpacing/>
        <w:jc w:val="both"/>
        <w:rPr>
          <w:rFonts w:ascii="Source Sans Pro" w:eastAsia="Times New Roman" w:hAnsi="Source Sans Pro"/>
          <w:b/>
          <w:sz w:val="20"/>
          <w:szCs w:val="20"/>
          <w:lang w:eastAsia="es-MX"/>
        </w:rPr>
      </w:pPr>
    </w:p>
    <w:p w14:paraId="57FB61A4" w14:textId="77777777" w:rsidR="00495CDF" w:rsidRPr="00495CDF" w:rsidRDefault="00495CDF" w:rsidP="00495CDF">
      <w:pPr>
        <w:contextualSpacing/>
        <w:jc w:val="both"/>
        <w:rPr>
          <w:rFonts w:ascii="Source Sans Pro" w:eastAsia="Times New Roman" w:hAnsi="Source Sans Pro"/>
          <w:b/>
          <w:sz w:val="20"/>
          <w:szCs w:val="20"/>
          <w:lang w:eastAsia="es-MX"/>
        </w:rPr>
      </w:pPr>
      <w:bookmarkStart w:id="1" w:name="_heading=h.30j0zll" w:colFirst="0" w:colLast="0"/>
      <w:bookmarkEnd w:id="1"/>
      <w:r w:rsidRPr="00495CDF">
        <w:rPr>
          <w:rFonts w:ascii="Source Sans Pro" w:eastAsia="Times New Roman" w:hAnsi="Source Sans Pro"/>
          <w:sz w:val="20"/>
          <w:szCs w:val="20"/>
          <w:lang w:eastAsia="es-MX"/>
        </w:rPr>
        <w:t>Dado en la Ciudad de México, a los 25 días del mes de octubre del año 2023</w:t>
      </w:r>
      <w:r w:rsidRPr="00495CDF">
        <w:rPr>
          <w:rFonts w:ascii="Source Sans Pro" w:eastAsia="Times New Roman" w:hAnsi="Source Sans Pro"/>
          <w:b/>
          <w:sz w:val="20"/>
          <w:szCs w:val="20"/>
          <w:lang w:eastAsia="es-MX"/>
        </w:rPr>
        <w:t xml:space="preserve">.- EL JEFE DE GOBIERNO DE LA CIUDAD DE MÉXICO, MTRO. MARTÍ BATRES GUADARRAMA.- FIRMA.- LA SECRETARIA DE ADMINISTRACIÓN Y FINANZAS, LUZ ELENA GONZÁLEZ ESCOBAR.- FIRMA.- EL SECRETARIO DE DESARROLLO ECONÓMICO, FADLALA AKABANI HNEIDE.- FIRMA.- EL SECRETARIO DE DESARROLLO URBANO Y VIVIENDA, CARLOS ALBERTO ULLOA PÉREZ.- FIRMA.- LA SECRETARIA DE EDUCACIÓN, CIENCIA, TECNOLOGÍA E INNOVACIÓN, JESÚS OFELIA ANGULO GUERRERO.- FIRMA.- LA SECRETARIA DE MEDIO AMBIENTE, MARINA ROBLES GARCÍA.- FIRMA.- EL SECRETARIO DE MOVILIDAD, ANDRÉS LAJOUS LOAEZA.- FIRMA.- EL SECRETARIO DE OBRAS Y SERVICIOS, JESÚS ANTONIO ESTEVA MEDINA.- </w:t>
      </w:r>
      <w:r w:rsidRPr="00495CDF">
        <w:rPr>
          <w:rFonts w:ascii="Source Sans Pro" w:eastAsia="Times New Roman" w:hAnsi="Source Sans Pro"/>
          <w:b/>
          <w:sz w:val="20"/>
          <w:szCs w:val="20"/>
          <w:lang w:eastAsia="es-MX"/>
        </w:rPr>
        <w:lastRenderedPageBreak/>
        <w:t>FIRMA.- EL SECRETARIO DE TRABAJO Y FOMENTO AL EMPLEO, JOSÉ LUIS RODRÍGUEZ DÍAZ DE LEÓN.- FIRMA.- EL CONSEJERO JURÍDICO Y DE SERVICIOS LEGALES, NÉSTOR VARGAS SOLANO.- FIRMA.</w:t>
      </w:r>
    </w:p>
    <w:p w14:paraId="6F530AAD" w14:textId="77777777" w:rsidR="00495CDF" w:rsidRPr="00495CDF" w:rsidRDefault="00495CDF" w:rsidP="00495CDF">
      <w:pPr>
        <w:jc w:val="both"/>
        <w:rPr>
          <w:rFonts w:ascii="Source Sans Pro" w:hAnsi="Source Sans Pro"/>
          <w:sz w:val="20"/>
          <w:szCs w:val="20"/>
        </w:rPr>
      </w:pPr>
    </w:p>
    <w:sectPr w:rsidR="00495CDF" w:rsidRPr="00495CD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A796" w14:textId="77777777" w:rsidR="007D230B" w:rsidRDefault="007D230B" w:rsidP="00495CDF">
      <w:r>
        <w:separator/>
      </w:r>
    </w:p>
  </w:endnote>
  <w:endnote w:type="continuationSeparator" w:id="0">
    <w:p w14:paraId="581F39D4" w14:textId="77777777" w:rsidR="007D230B" w:rsidRDefault="007D230B" w:rsidP="0049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E0DA" w14:textId="5F27B81E" w:rsidR="00495CDF" w:rsidRDefault="00495CDF">
    <w:pPr>
      <w:pStyle w:val="Piedepgina"/>
    </w:pPr>
    <w:r>
      <w:rPr>
        <w:noProof/>
        <w14:ligatures w14:val="standardContextual"/>
      </w:rPr>
      <w:drawing>
        <wp:anchor distT="0" distB="0" distL="114300" distR="114300" simplePos="0" relativeHeight="251658240" behindDoc="1" locked="0" layoutInCell="1" allowOverlap="1" wp14:anchorId="11CF3BAE" wp14:editId="5DE8B275">
          <wp:simplePos x="0" y="0"/>
          <wp:positionH relativeFrom="column">
            <wp:posOffset>-3810</wp:posOffset>
          </wp:positionH>
          <wp:positionV relativeFrom="paragraph">
            <wp:posOffset>-160655</wp:posOffset>
          </wp:positionV>
          <wp:extent cx="5612130" cy="615950"/>
          <wp:effectExtent l="0" t="0" r="7620" b="0"/>
          <wp:wrapNone/>
          <wp:docPr id="6282887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288716" name="Imagen 628288716"/>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1BD2" w14:textId="77777777" w:rsidR="007D230B" w:rsidRDefault="007D230B" w:rsidP="00495CDF">
      <w:r>
        <w:separator/>
      </w:r>
    </w:p>
  </w:footnote>
  <w:footnote w:type="continuationSeparator" w:id="0">
    <w:p w14:paraId="51929621" w14:textId="77777777" w:rsidR="007D230B" w:rsidRDefault="007D230B" w:rsidP="0049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00CB" w14:textId="052251E9" w:rsidR="00495CDF" w:rsidRDefault="006B7C0D">
    <w:pPr>
      <w:pStyle w:val="Encabezado"/>
    </w:pPr>
    <w:r>
      <w:rPr>
        <w:noProof/>
        <w14:ligatures w14:val="standardContextual"/>
      </w:rPr>
      <w:drawing>
        <wp:anchor distT="0" distB="0" distL="114300" distR="114300" simplePos="0" relativeHeight="251659264" behindDoc="1" locked="0" layoutInCell="1" allowOverlap="1" wp14:anchorId="10AD0C9F" wp14:editId="45FE1565">
          <wp:simplePos x="0" y="0"/>
          <wp:positionH relativeFrom="column">
            <wp:posOffset>-108585</wp:posOffset>
          </wp:positionH>
          <wp:positionV relativeFrom="paragraph">
            <wp:posOffset>-220980</wp:posOffset>
          </wp:positionV>
          <wp:extent cx="5688330" cy="539355"/>
          <wp:effectExtent l="0" t="0" r="0" b="0"/>
          <wp:wrapNone/>
          <wp:docPr id="20939730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73072" name="Imagen 2093973072"/>
                  <pic:cNvPicPr/>
                </pic:nvPicPr>
                <pic:blipFill>
                  <a:blip r:embed="rId1">
                    <a:extLst>
                      <a:ext uri="{28A0092B-C50C-407E-A947-70E740481C1C}">
                        <a14:useLocalDpi xmlns:a14="http://schemas.microsoft.com/office/drawing/2010/main" val="0"/>
                      </a:ext>
                    </a:extLst>
                  </a:blip>
                  <a:stretch>
                    <a:fillRect/>
                  </a:stretch>
                </pic:blipFill>
                <pic:spPr>
                  <a:xfrm>
                    <a:off x="0" y="0"/>
                    <a:ext cx="5688330" cy="539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E0"/>
    <w:multiLevelType w:val="hybridMultilevel"/>
    <w:tmpl w:val="A178E798"/>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F3AFC"/>
    <w:multiLevelType w:val="hybridMultilevel"/>
    <w:tmpl w:val="728CF5A0"/>
    <w:lvl w:ilvl="0" w:tplc="94C861D0">
      <w:start w:val="1"/>
      <w:numFmt w:val="lowerRoman"/>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2BA5697"/>
    <w:multiLevelType w:val="hybridMultilevel"/>
    <w:tmpl w:val="5DD420CA"/>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300A70"/>
    <w:multiLevelType w:val="hybridMultilevel"/>
    <w:tmpl w:val="E5AA60AA"/>
    <w:lvl w:ilvl="0" w:tplc="F8C2CF80">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6B2E27"/>
    <w:multiLevelType w:val="hybridMultilevel"/>
    <w:tmpl w:val="1C4AB2DE"/>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E4F73"/>
    <w:multiLevelType w:val="hybridMultilevel"/>
    <w:tmpl w:val="5328A376"/>
    <w:lvl w:ilvl="0" w:tplc="10365F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76182"/>
    <w:multiLevelType w:val="hybridMultilevel"/>
    <w:tmpl w:val="1E8C21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850EF"/>
    <w:multiLevelType w:val="hybridMultilevel"/>
    <w:tmpl w:val="A8D46D76"/>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61E44"/>
    <w:multiLevelType w:val="hybridMultilevel"/>
    <w:tmpl w:val="7438FBF8"/>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8120D8"/>
    <w:multiLevelType w:val="hybridMultilevel"/>
    <w:tmpl w:val="EF786D8C"/>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710E07"/>
    <w:multiLevelType w:val="hybridMultilevel"/>
    <w:tmpl w:val="8C7E5164"/>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104950"/>
    <w:multiLevelType w:val="hybridMultilevel"/>
    <w:tmpl w:val="3506AD66"/>
    <w:lvl w:ilvl="0" w:tplc="B866A7A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2" w15:restartNumberingAfterBreak="0">
    <w:nsid w:val="5A425FFD"/>
    <w:multiLevelType w:val="hybridMultilevel"/>
    <w:tmpl w:val="029ED1C6"/>
    <w:lvl w:ilvl="0" w:tplc="1794F63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5A45FD"/>
    <w:multiLevelType w:val="hybridMultilevel"/>
    <w:tmpl w:val="637C18FC"/>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145ECA"/>
    <w:multiLevelType w:val="hybridMultilevel"/>
    <w:tmpl w:val="4D8EB62A"/>
    <w:lvl w:ilvl="0" w:tplc="B866A7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F104C2"/>
    <w:multiLevelType w:val="hybridMultilevel"/>
    <w:tmpl w:val="78FE3274"/>
    <w:lvl w:ilvl="0" w:tplc="A0CAE0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0659220">
    <w:abstractNumId w:val="9"/>
  </w:num>
  <w:num w:numId="2" w16cid:durableId="1519124615">
    <w:abstractNumId w:val="13"/>
  </w:num>
  <w:num w:numId="3" w16cid:durableId="661350476">
    <w:abstractNumId w:val="5"/>
  </w:num>
  <w:num w:numId="4" w16cid:durableId="1009871983">
    <w:abstractNumId w:val="8"/>
  </w:num>
  <w:num w:numId="5" w16cid:durableId="1413504661">
    <w:abstractNumId w:val="11"/>
  </w:num>
  <w:num w:numId="6" w16cid:durableId="254246373">
    <w:abstractNumId w:val="4"/>
  </w:num>
  <w:num w:numId="7" w16cid:durableId="1798795941">
    <w:abstractNumId w:val="14"/>
  </w:num>
  <w:num w:numId="8" w16cid:durableId="1189873369">
    <w:abstractNumId w:val="15"/>
  </w:num>
  <w:num w:numId="9" w16cid:durableId="1448037394">
    <w:abstractNumId w:val="1"/>
  </w:num>
  <w:num w:numId="10" w16cid:durableId="1408764204">
    <w:abstractNumId w:val="2"/>
  </w:num>
  <w:num w:numId="11" w16cid:durableId="1115556839">
    <w:abstractNumId w:val="12"/>
  </w:num>
  <w:num w:numId="12" w16cid:durableId="1331835426">
    <w:abstractNumId w:val="0"/>
  </w:num>
  <w:num w:numId="13" w16cid:durableId="1218861602">
    <w:abstractNumId w:val="3"/>
  </w:num>
  <w:num w:numId="14" w16cid:durableId="1472869606">
    <w:abstractNumId w:val="6"/>
  </w:num>
  <w:num w:numId="15" w16cid:durableId="1383403101">
    <w:abstractNumId w:val="10"/>
  </w:num>
  <w:num w:numId="16" w16cid:durableId="1522474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DF"/>
    <w:rsid w:val="00231F80"/>
    <w:rsid w:val="00340B26"/>
    <w:rsid w:val="00495CDF"/>
    <w:rsid w:val="00540739"/>
    <w:rsid w:val="006B7C0D"/>
    <w:rsid w:val="007D230B"/>
    <w:rsid w:val="008573A4"/>
    <w:rsid w:val="009116E4"/>
    <w:rsid w:val="00B44A8D"/>
    <w:rsid w:val="00C72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3D27"/>
  <w15:chartTrackingRefBased/>
  <w15:docId w15:val="{0F445AB0-5933-4DA0-A362-BAAFC613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DF"/>
    <w:pPr>
      <w:spacing w:after="0" w:line="240"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5CDF"/>
    <w:pPr>
      <w:autoSpaceDE w:val="0"/>
      <w:autoSpaceDN w:val="0"/>
      <w:adjustRightInd w:val="0"/>
      <w:spacing w:after="0" w:line="240" w:lineRule="auto"/>
    </w:pPr>
    <w:rPr>
      <w:rFonts w:ascii="Source Sans Pro" w:hAnsi="Source Sans Pro" w:cs="Source Sans Pro"/>
      <w:color w:val="000000"/>
      <w:kern w:val="0"/>
      <w:sz w:val="24"/>
      <w:szCs w:val="24"/>
    </w:rPr>
  </w:style>
  <w:style w:type="paragraph" w:styleId="Prrafodelista">
    <w:name w:val="List Paragraph"/>
    <w:basedOn w:val="Normal"/>
    <w:uiPriority w:val="34"/>
    <w:qFormat/>
    <w:rsid w:val="00495CDF"/>
    <w:pPr>
      <w:ind w:left="720"/>
      <w:contextualSpacing/>
    </w:pPr>
  </w:style>
  <w:style w:type="paragraph" w:styleId="Encabezado">
    <w:name w:val="header"/>
    <w:basedOn w:val="Normal"/>
    <w:link w:val="EncabezadoCar"/>
    <w:uiPriority w:val="99"/>
    <w:unhideWhenUsed/>
    <w:rsid w:val="00495CDF"/>
    <w:pPr>
      <w:tabs>
        <w:tab w:val="center" w:pos="4419"/>
        <w:tab w:val="right" w:pos="8838"/>
      </w:tabs>
    </w:pPr>
  </w:style>
  <w:style w:type="character" w:customStyle="1" w:styleId="EncabezadoCar">
    <w:name w:val="Encabezado Car"/>
    <w:basedOn w:val="Fuentedeprrafopredeter"/>
    <w:link w:val="Encabezado"/>
    <w:uiPriority w:val="99"/>
    <w:rsid w:val="00495CDF"/>
    <w:rPr>
      <w:rFonts w:ascii="Calibri" w:eastAsia="Calibri" w:hAnsi="Calibri" w:cs="Times New Roman"/>
      <w:kern w:val="0"/>
      <w14:ligatures w14:val="none"/>
    </w:rPr>
  </w:style>
  <w:style w:type="paragraph" w:styleId="Piedepgina">
    <w:name w:val="footer"/>
    <w:basedOn w:val="Normal"/>
    <w:link w:val="PiedepginaCar"/>
    <w:uiPriority w:val="99"/>
    <w:unhideWhenUsed/>
    <w:rsid w:val="00495CDF"/>
    <w:pPr>
      <w:tabs>
        <w:tab w:val="center" w:pos="4419"/>
        <w:tab w:val="right" w:pos="8838"/>
      </w:tabs>
    </w:pPr>
  </w:style>
  <w:style w:type="character" w:customStyle="1" w:styleId="PiedepginaCar">
    <w:name w:val="Pie de página Car"/>
    <w:basedOn w:val="Fuentedeprrafopredeter"/>
    <w:link w:val="Piedepgina"/>
    <w:uiPriority w:val="99"/>
    <w:rsid w:val="00495CDF"/>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3824</Words>
  <Characters>21036</Characters>
  <Application>Microsoft Office Word</Application>
  <DocSecurity>0</DocSecurity>
  <Lines>175</Lines>
  <Paragraphs>49</Paragraphs>
  <ScaleCrop>false</ScaleCrop>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Angye Flores</dc:creator>
  <cp:keywords/>
  <dc:description/>
  <cp:lastModifiedBy>Lic. Angye Flores</cp:lastModifiedBy>
  <cp:revision>3</cp:revision>
  <dcterms:created xsi:type="dcterms:W3CDTF">2023-11-06T17:53:00Z</dcterms:created>
  <dcterms:modified xsi:type="dcterms:W3CDTF">2023-11-07T17:56:00Z</dcterms:modified>
</cp:coreProperties>
</file>