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A83AF1" w:rsidRDefault="000814E7" w:rsidP="000814E7">
      <w:pPr>
        <w:tabs>
          <w:tab w:val="left" w:pos="2552"/>
        </w:tabs>
        <w:ind w:left="2552" w:hanging="2552"/>
        <w:jc w:val="center"/>
        <w:rPr>
          <w:rFonts w:ascii="Source Sans Pro" w:hAnsi="Source Sans Pro" w:cs="Arial"/>
          <w:b/>
          <w:bCs/>
          <w:color w:val="235B4E"/>
          <w:sz w:val="22"/>
          <w:szCs w:val="22"/>
        </w:rPr>
      </w:pPr>
      <w:r w:rsidRPr="00A83AF1">
        <w:rPr>
          <w:rFonts w:ascii="Source Sans Pro" w:hAnsi="Source Sans Pro" w:cs="Arial"/>
          <w:b/>
          <w:bCs/>
          <w:color w:val="235B4E"/>
          <w:sz w:val="22"/>
          <w:szCs w:val="22"/>
        </w:rPr>
        <w:t xml:space="preserve">PUBLICADA EN LA GACETA OFICIAL DE LA CIUDAD DE MÉXICO </w:t>
      </w:r>
    </w:p>
    <w:p w:rsidR="000814E7" w:rsidRPr="00A83AF1" w:rsidRDefault="005E049F" w:rsidP="000814E7">
      <w:pPr>
        <w:tabs>
          <w:tab w:val="left" w:pos="2552"/>
        </w:tabs>
        <w:jc w:val="center"/>
        <w:rPr>
          <w:rFonts w:ascii="Source Sans Pro" w:hAnsi="Source Sans Pro" w:cs="Arial"/>
          <w:b/>
          <w:bCs/>
          <w:color w:val="235B4E"/>
          <w:sz w:val="22"/>
          <w:szCs w:val="22"/>
        </w:rPr>
      </w:pPr>
      <w:r w:rsidRPr="00A83AF1">
        <w:rPr>
          <w:rFonts w:ascii="Source Sans Pro" w:hAnsi="Source Sans Pro" w:cs="Arial"/>
          <w:b/>
          <w:bCs/>
          <w:color w:val="235B4E"/>
          <w:sz w:val="22"/>
          <w:szCs w:val="22"/>
        </w:rPr>
        <w:t xml:space="preserve">EL </w:t>
      </w:r>
      <w:r w:rsidR="00A83AF1">
        <w:rPr>
          <w:rFonts w:ascii="Source Sans Pro" w:hAnsi="Source Sans Pro" w:cs="Arial"/>
          <w:b/>
          <w:bCs/>
          <w:color w:val="235B4E"/>
          <w:sz w:val="22"/>
          <w:szCs w:val="22"/>
        </w:rPr>
        <w:t>31 DE DICIEMBRE DE 2018</w:t>
      </w:r>
    </w:p>
    <w:p w:rsidR="000814E7" w:rsidRPr="00A83AF1" w:rsidRDefault="000814E7" w:rsidP="000814E7">
      <w:pPr>
        <w:tabs>
          <w:tab w:val="left" w:pos="2552"/>
        </w:tabs>
        <w:jc w:val="center"/>
        <w:rPr>
          <w:rFonts w:ascii="Source Sans Pro" w:hAnsi="Source Sans Pro" w:cs="Arial"/>
          <w:b/>
          <w:bCs/>
          <w:color w:val="10312B"/>
          <w:sz w:val="22"/>
          <w:szCs w:val="22"/>
        </w:rPr>
      </w:pPr>
    </w:p>
    <w:p w:rsidR="005E049F" w:rsidRPr="00A83AF1" w:rsidRDefault="005E049F" w:rsidP="005E049F">
      <w:pPr>
        <w:tabs>
          <w:tab w:val="left" w:pos="2552"/>
        </w:tabs>
        <w:jc w:val="center"/>
        <w:rPr>
          <w:rFonts w:ascii="Source Sans Pro" w:hAnsi="Source Sans Pro" w:cs="Arial"/>
          <w:b/>
          <w:bCs/>
          <w:color w:val="6F7271"/>
          <w:sz w:val="22"/>
          <w:szCs w:val="22"/>
        </w:rPr>
      </w:pPr>
      <w:r w:rsidRPr="00A83AF1">
        <w:rPr>
          <w:rFonts w:ascii="Source Sans Pro" w:hAnsi="Source Sans Pro" w:cs="Arial"/>
          <w:b/>
          <w:bCs/>
          <w:color w:val="6F7271"/>
          <w:sz w:val="22"/>
          <w:szCs w:val="22"/>
        </w:rPr>
        <w:t>TEXTO ABROGADO</w:t>
      </w:r>
    </w:p>
    <w:p w:rsidR="000814E7" w:rsidRDefault="000814E7" w:rsidP="000814E7">
      <w:pPr>
        <w:tabs>
          <w:tab w:val="left" w:pos="2552"/>
        </w:tabs>
        <w:jc w:val="center"/>
        <w:rPr>
          <w:rFonts w:ascii="Source Sans Pro" w:hAnsi="Source Sans Pro" w:cs="Arial"/>
          <w:b/>
          <w:bCs/>
          <w:color w:val="6F7271"/>
          <w:sz w:val="22"/>
          <w:szCs w:val="22"/>
        </w:rPr>
      </w:pPr>
    </w:p>
    <w:p w:rsidR="00A83AF1" w:rsidRPr="00A83AF1" w:rsidRDefault="00A83AF1" w:rsidP="00A83AF1">
      <w:pPr>
        <w:tabs>
          <w:tab w:val="left" w:pos="2552"/>
        </w:tabs>
        <w:jc w:val="center"/>
        <w:rPr>
          <w:rFonts w:ascii="Source Sans Pro" w:eastAsia="Arial" w:hAnsi="Source Sans Pro" w:cs="Arial"/>
          <w:b/>
          <w:color w:val="9F2241"/>
          <w:sz w:val="20"/>
          <w:szCs w:val="20"/>
        </w:rPr>
      </w:pPr>
      <w:r w:rsidRPr="00A83AF1">
        <w:rPr>
          <w:rFonts w:ascii="Source Sans Pro" w:eastAsia="Arial" w:hAnsi="Source Sans Pro" w:cs="Arial"/>
          <w:b/>
          <w:color w:val="9F2241"/>
          <w:sz w:val="20"/>
          <w:szCs w:val="20"/>
        </w:rPr>
        <w:t>LEY VIGENTE SOLO DURANTE EL EJERCICIO FISCAL 2019</w:t>
      </w:r>
    </w:p>
    <w:p w:rsidR="00A83AF1" w:rsidRPr="00A83AF1" w:rsidRDefault="00A83AF1" w:rsidP="00A83AF1">
      <w:pPr>
        <w:tabs>
          <w:tab w:val="left" w:pos="2552"/>
        </w:tabs>
        <w:rPr>
          <w:rFonts w:ascii="Source Sans Pro" w:hAnsi="Source Sans Pro" w:cs="Arial"/>
          <w:b/>
          <w:bCs/>
          <w:color w:val="6F7271"/>
          <w:sz w:val="20"/>
          <w:szCs w:val="20"/>
        </w:rPr>
      </w:pPr>
    </w:p>
    <w:p w:rsidR="00A83AF1" w:rsidRPr="00A83AF1" w:rsidRDefault="00A83AF1" w:rsidP="00A83AF1">
      <w:pPr>
        <w:jc w:val="center"/>
        <w:rPr>
          <w:rFonts w:ascii="Source Sans Pro" w:hAnsi="Source Sans Pro" w:cs="Arial"/>
          <w:b/>
          <w:color w:val="6F7271"/>
        </w:rPr>
      </w:pPr>
      <w:r w:rsidRPr="00A83AF1">
        <w:rPr>
          <w:rFonts w:ascii="Source Sans Pro" w:hAnsi="Source Sans Pro" w:cs="Arial"/>
          <w:b/>
          <w:color w:val="6F7271"/>
        </w:rPr>
        <w:t>ADMINISTRACIÓN PÚBLICA DE LA CIUDAD DE MÉXICO</w:t>
      </w:r>
    </w:p>
    <w:p w:rsidR="00A83AF1" w:rsidRPr="00A83AF1" w:rsidRDefault="00A83AF1" w:rsidP="00A83AF1">
      <w:pPr>
        <w:jc w:val="center"/>
        <w:rPr>
          <w:rFonts w:ascii="Source Sans Pro" w:hAnsi="Source Sans Pro" w:cs="Arial"/>
          <w:b/>
          <w:color w:val="6F7271"/>
          <w:sz w:val="20"/>
          <w:szCs w:val="20"/>
        </w:rPr>
      </w:pPr>
    </w:p>
    <w:p w:rsidR="00A83AF1" w:rsidRPr="00A83AF1" w:rsidRDefault="00A83AF1" w:rsidP="00A83AF1">
      <w:pPr>
        <w:jc w:val="center"/>
        <w:rPr>
          <w:rFonts w:ascii="Source Sans Pro" w:hAnsi="Source Sans Pro" w:cs="Arial"/>
          <w:b/>
          <w:color w:val="6F7271"/>
          <w:sz w:val="20"/>
          <w:szCs w:val="20"/>
        </w:rPr>
      </w:pPr>
      <w:r w:rsidRPr="00A83AF1">
        <w:rPr>
          <w:rFonts w:ascii="Source Sans Pro" w:hAnsi="Source Sans Pro" w:cs="Arial"/>
          <w:b/>
          <w:color w:val="6F7271"/>
          <w:sz w:val="20"/>
          <w:szCs w:val="20"/>
        </w:rPr>
        <w:t>JEFATURA DE GOBIERNO</w:t>
      </w:r>
    </w:p>
    <w:p w:rsidR="00A83AF1" w:rsidRPr="00A83AF1" w:rsidRDefault="00A83AF1" w:rsidP="00A83AF1">
      <w:pPr>
        <w:jc w:val="center"/>
        <w:rPr>
          <w:rFonts w:ascii="Source Sans Pro" w:hAnsi="Source Sans Pro" w:cs="Arial"/>
          <w:b/>
          <w:color w:val="6F7271"/>
          <w:sz w:val="20"/>
          <w:szCs w:val="20"/>
        </w:rPr>
      </w:pPr>
    </w:p>
    <w:p w:rsidR="00A83AF1" w:rsidRPr="00A83AF1" w:rsidRDefault="00A83AF1" w:rsidP="00A83AF1">
      <w:pPr>
        <w:ind w:right="44"/>
        <w:jc w:val="both"/>
        <w:rPr>
          <w:rFonts w:ascii="Source Sans Pro" w:hAnsi="Source Sans Pro" w:cs="Arial"/>
          <w:color w:val="6F7271"/>
          <w:sz w:val="20"/>
          <w:szCs w:val="20"/>
        </w:rPr>
      </w:pPr>
      <w:r w:rsidRPr="00A83AF1">
        <w:rPr>
          <w:rFonts w:ascii="Source Sans Pro" w:hAnsi="Source Sans Pro" w:cs="Arial"/>
          <w:b/>
          <w:color w:val="6F7271"/>
          <w:sz w:val="20"/>
          <w:szCs w:val="20"/>
        </w:rPr>
        <w:t xml:space="preserve">DECRETO </w:t>
      </w:r>
      <w:r w:rsidRPr="00A83AF1">
        <w:rPr>
          <w:rFonts w:ascii="Source Sans Pro" w:hAnsi="Source Sans Pro" w:cs="Arial"/>
          <w:b/>
          <w:bCs/>
          <w:color w:val="6F7271"/>
          <w:sz w:val="20"/>
          <w:szCs w:val="20"/>
          <w:lang w:eastAsia="es-MX"/>
        </w:rPr>
        <w:t>POR EL QUE SE EXPIDE LA LEY DE INGRESOS DE LA CIUDAD DE MÉXICO PARA EL EJERCICIO FISCAL 2019</w:t>
      </w:r>
    </w:p>
    <w:p w:rsidR="00A83AF1" w:rsidRPr="00A83AF1" w:rsidRDefault="00A83AF1" w:rsidP="00A83AF1">
      <w:pPr>
        <w:jc w:val="center"/>
        <w:rPr>
          <w:rFonts w:ascii="Source Sans Pro" w:hAnsi="Source Sans Pro" w:cs="Arial"/>
          <w:color w:val="6F7271"/>
          <w:sz w:val="20"/>
          <w:szCs w:val="20"/>
        </w:rPr>
      </w:pPr>
    </w:p>
    <w:p w:rsidR="00A83AF1" w:rsidRPr="00A83AF1" w:rsidRDefault="00A83AF1" w:rsidP="00A83AF1">
      <w:pPr>
        <w:jc w:val="both"/>
        <w:rPr>
          <w:rFonts w:ascii="Source Sans Pro" w:hAnsi="Source Sans Pro" w:cs="Arial"/>
          <w:color w:val="6F7271"/>
          <w:sz w:val="20"/>
          <w:szCs w:val="20"/>
        </w:rPr>
      </w:pPr>
      <w:r w:rsidRPr="00A83AF1">
        <w:rPr>
          <w:rFonts w:ascii="Source Sans Pro" w:hAnsi="Source Sans Pro" w:cs="Arial"/>
          <w:b/>
          <w:bCs/>
          <w:color w:val="6F7271"/>
          <w:sz w:val="20"/>
          <w:szCs w:val="20"/>
        </w:rPr>
        <w:t>DRA. CLAUDIA SHEINBAUM PARDO</w:t>
      </w:r>
      <w:r w:rsidRPr="00A83AF1">
        <w:rPr>
          <w:rFonts w:ascii="Source Sans Pro" w:hAnsi="Source Sans Pro" w:cs="Arial"/>
          <w:b/>
          <w:color w:val="6F7271"/>
          <w:sz w:val="20"/>
          <w:szCs w:val="20"/>
        </w:rPr>
        <w:t>,</w:t>
      </w:r>
      <w:r w:rsidRPr="00A83AF1">
        <w:rPr>
          <w:rFonts w:ascii="Source Sans Pro" w:hAnsi="Source Sans Pro" w:cs="Arial"/>
          <w:color w:val="6F7271"/>
          <w:sz w:val="20"/>
          <w:szCs w:val="20"/>
        </w:rPr>
        <w:t xml:space="preserve"> Jefa de Gobierno de la Ciudad de México, a sus habitantes sabed.</w:t>
      </w:r>
    </w:p>
    <w:p w:rsidR="00A83AF1" w:rsidRPr="00A83AF1" w:rsidRDefault="00A83AF1" w:rsidP="00A83AF1">
      <w:pPr>
        <w:jc w:val="both"/>
        <w:rPr>
          <w:rFonts w:ascii="Source Sans Pro" w:hAnsi="Source Sans Pro" w:cs="Arial"/>
          <w:b/>
          <w:color w:val="6F7271"/>
          <w:sz w:val="20"/>
          <w:szCs w:val="20"/>
        </w:rPr>
      </w:pPr>
    </w:p>
    <w:p w:rsidR="00A83AF1" w:rsidRPr="00A83AF1" w:rsidRDefault="00A83AF1" w:rsidP="00A83AF1">
      <w:pPr>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Que el H. Congreso de la Ciudad de México I Legislatura, se ha servido dirigirme el siguiente: </w:t>
      </w:r>
    </w:p>
    <w:p w:rsidR="00A83AF1" w:rsidRPr="00A83AF1" w:rsidRDefault="00A83AF1" w:rsidP="00A83AF1">
      <w:pPr>
        <w:jc w:val="center"/>
        <w:rPr>
          <w:rFonts w:ascii="Source Sans Pro" w:hAnsi="Source Sans Pro" w:cs="Arial"/>
          <w:b/>
          <w:color w:val="6F7271"/>
          <w:sz w:val="20"/>
          <w:szCs w:val="20"/>
        </w:rPr>
      </w:pPr>
    </w:p>
    <w:p w:rsidR="00A83AF1" w:rsidRPr="00A83AF1" w:rsidRDefault="00A83AF1" w:rsidP="00A83AF1">
      <w:pPr>
        <w:jc w:val="center"/>
        <w:rPr>
          <w:rFonts w:ascii="Source Sans Pro" w:hAnsi="Source Sans Pro" w:cs="Arial"/>
          <w:b/>
          <w:color w:val="6F7271"/>
          <w:sz w:val="20"/>
          <w:szCs w:val="20"/>
        </w:rPr>
      </w:pPr>
      <w:r w:rsidRPr="00A83AF1">
        <w:rPr>
          <w:rFonts w:ascii="Source Sans Pro" w:hAnsi="Source Sans Pro" w:cs="Arial"/>
          <w:b/>
          <w:color w:val="6F7271"/>
          <w:sz w:val="20"/>
          <w:szCs w:val="20"/>
        </w:rPr>
        <w:t>D E C R E T O</w:t>
      </w:r>
    </w:p>
    <w:p w:rsidR="00A83AF1" w:rsidRPr="00A83AF1" w:rsidRDefault="00A83AF1" w:rsidP="00A83AF1">
      <w:pPr>
        <w:jc w:val="both"/>
        <w:rPr>
          <w:rFonts w:ascii="Source Sans Pro" w:hAnsi="Source Sans Pro" w:cs="Arial"/>
          <w:color w:val="6F7271"/>
          <w:sz w:val="20"/>
          <w:szCs w:val="20"/>
        </w:rPr>
      </w:pPr>
    </w:p>
    <w:p w:rsidR="00A83AF1" w:rsidRPr="00A83AF1" w:rsidRDefault="00A83AF1" w:rsidP="00A83AF1">
      <w:pPr>
        <w:jc w:val="center"/>
        <w:rPr>
          <w:rFonts w:ascii="Source Sans Pro" w:hAnsi="Source Sans Pro" w:cs="Arial"/>
          <w:b/>
          <w:color w:val="6F7271"/>
          <w:sz w:val="20"/>
          <w:szCs w:val="20"/>
        </w:rPr>
      </w:pPr>
      <w:r w:rsidRPr="00A83AF1">
        <w:rPr>
          <w:rFonts w:ascii="Source Sans Pro" w:hAnsi="Source Sans Pro" w:cs="Arial"/>
          <w:b/>
          <w:color w:val="6F7271"/>
          <w:sz w:val="20"/>
          <w:szCs w:val="20"/>
        </w:rPr>
        <w:t>CONGRESO DE LA CIUDAD DE MÉXICO</w:t>
      </w:r>
    </w:p>
    <w:p w:rsidR="00A83AF1" w:rsidRPr="00A83AF1" w:rsidRDefault="00A83AF1" w:rsidP="00A83AF1">
      <w:pPr>
        <w:jc w:val="center"/>
        <w:rPr>
          <w:rFonts w:ascii="Source Sans Pro" w:hAnsi="Source Sans Pro" w:cs="Arial"/>
          <w:b/>
          <w:color w:val="6F7271"/>
          <w:sz w:val="20"/>
          <w:szCs w:val="20"/>
        </w:rPr>
      </w:pPr>
    </w:p>
    <w:p w:rsidR="00A83AF1" w:rsidRPr="00A83AF1" w:rsidRDefault="00A83AF1" w:rsidP="00A83AF1">
      <w:pPr>
        <w:jc w:val="center"/>
        <w:rPr>
          <w:rFonts w:ascii="Source Sans Pro" w:hAnsi="Source Sans Pro" w:cs="Arial"/>
          <w:b/>
          <w:color w:val="6F7271"/>
          <w:sz w:val="20"/>
          <w:szCs w:val="20"/>
        </w:rPr>
      </w:pPr>
      <w:r w:rsidRPr="00A83AF1">
        <w:rPr>
          <w:rFonts w:ascii="Source Sans Pro" w:hAnsi="Source Sans Pro" w:cs="Arial"/>
          <w:b/>
          <w:color w:val="6F7271"/>
          <w:sz w:val="20"/>
          <w:szCs w:val="20"/>
        </w:rPr>
        <w:t>I LEGISLATURA</w:t>
      </w:r>
    </w:p>
    <w:p w:rsidR="00A83AF1" w:rsidRPr="00A83AF1" w:rsidRDefault="00A83AF1" w:rsidP="00A83AF1">
      <w:pPr>
        <w:jc w:val="center"/>
        <w:rPr>
          <w:rFonts w:ascii="Source Sans Pro" w:hAnsi="Source Sans Pro" w:cs="Arial"/>
          <w:b/>
          <w:color w:val="6F7271"/>
          <w:sz w:val="20"/>
          <w:szCs w:val="20"/>
        </w:rPr>
      </w:pPr>
    </w:p>
    <w:p w:rsidR="00A83AF1" w:rsidRPr="00A83AF1" w:rsidRDefault="00A83AF1" w:rsidP="00A83AF1">
      <w:pPr>
        <w:rPr>
          <w:rFonts w:ascii="Source Sans Pro" w:hAnsi="Source Sans Pro" w:cs="Arial"/>
          <w:b/>
          <w:color w:val="6F7271"/>
          <w:sz w:val="20"/>
          <w:szCs w:val="20"/>
        </w:rPr>
      </w:pPr>
      <w:r w:rsidRPr="00A83AF1">
        <w:rPr>
          <w:rFonts w:ascii="Source Sans Pro" w:hAnsi="Source Sans Pro" w:cs="Arial"/>
          <w:b/>
          <w:color w:val="6F7271"/>
          <w:sz w:val="20"/>
          <w:szCs w:val="20"/>
        </w:rPr>
        <w:t>EL CONGRESO DE LA CIUDAD DE MÉXICO, DECRETA:</w:t>
      </w:r>
    </w:p>
    <w:p w:rsidR="00A83AF1" w:rsidRPr="00A83AF1" w:rsidRDefault="00A83AF1" w:rsidP="00A83AF1">
      <w:pPr>
        <w:jc w:val="both"/>
        <w:rPr>
          <w:rFonts w:ascii="Source Sans Pro" w:hAnsi="Source Sans Pro" w:cs="Arial"/>
          <w:color w:val="6F7271"/>
          <w:sz w:val="20"/>
          <w:szCs w:val="20"/>
        </w:rPr>
      </w:pPr>
    </w:p>
    <w:p w:rsidR="00A83AF1" w:rsidRPr="00A83AF1" w:rsidRDefault="00A83AF1" w:rsidP="00A83AF1">
      <w:pPr>
        <w:jc w:val="both"/>
        <w:rPr>
          <w:rFonts w:ascii="Source Sans Pro" w:hAnsi="Source Sans Pro" w:cs="Arial"/>
          <w:b/>
          <w:color w:val="6F7271"/>
          <w:sz w:val="20"/>
          <w:szCs w:val="20"/>
        </w:rPr>
      </w:pPr>
      <w:r w:rsidRPr="00A83AF1">
        <w:rPr>
          <w:rFonts w:ascii="Source Sans Pro" w:hAnsi="Source Sans Pro" w:cs="Arial"/>
          <w:b/>
          <w:bCs/>
          <w:color w:val="6F7271"/>
          <w:sz w:val="20"/>
          <w:szCs w:val="20"/>
          <w:lang w:eastAsia="es-MX"/>
        </w:rPr>
        <w:t>POR EL QUE SE EXPIDE LA LEY DE INGRESOS DE LA CIUDAD DE MÉXICO PARA EL EJERCICIO FISCAL 2019</w:t>
      </w:r>
      <w:r w:rsidRPr="00A83AF1">
        <w:rPr>
          <w:rFonts w:ascii="Source Sans Pro" w:hAnsi="Source Sans Pro" w:cs="Arial"/>
          <w:b/>
          <w:color w:val="6F7271"/>
          <w:sz w:val="20"/>
          <w:szCs w:val="20"/>
        </w:rPr>
        <w:t>.</w:t>
      </w:r>
    </w:p>
    <w:p w:rsidR="00A83AF1" w:rsidRPr="00A83AF1" w:rsidRDefault="00A83AF1" w:rsidP="00A83AF1">
      <w:pPr>
        <w:jc w:val="both"/>
        <w:rPr>
          <w:rFonts w:ascii="Source Sans Pro" w:hAnsi="Source Sans Pro" w:cs="Arial"/>
          <w:b/>
          <w:color w:val="6F7271"/>
          <w:sz w:val="20"/>
          <w:szCs w:val="20"/>
        </w:rPr>
      </w:pPr>
    </w:p>
    <w:p w:rsidR="00A83AF1" w:rsidRPr="00A83AF1" w:rsidRDefault="00A83AF1" w:rsidP="00A83AF1">
      <w:pPr>
        <w:pStyle w:val="Default"/>
        <w:jc w:val="both"/>
        <w:rPr>
          <w:rFonts w:ascii="Source Sans Pro" w:hAnsi="Source Sans Pro" w:cs="Arial"/>
          <w:color w:val="6F7271"/>
          <w:sz w:val="20"/>
          <w:szCs w:val="20"/>
          <w:lang w:val="es-MX"/>
        </w:rPr>
      </w:pPr>
      <w:r w:rsidRPr="00A83AF1">
        <w:rPr>
          <w:rFonts w:ascii="Source Sans Pro" w:hAnsi="Source Sans Pro" w:cs="Arial"/>
          <w:b/>
          <w:color w:val="6F7271"/>
          <w:sz w:val="20"/>
          <w:szCs w:val="20"/>
          <w:lang w:val="es-MX"/>
        </w:rPr>
        <w:t>Artículo único.</w:t>
      </w:r>
      <w:r w:rsidRPr="00A83AF1">
        <w:rPr>
          <w:rFonts w:ascii="Source Sans Pro" w:hAnsi="Source Sans Pro" w:cs="Arial"/>
          <w:color w:val="6F7271"/>
          <w:sz w:val="20"/>
          <w:szCs w:val="20"/>
          <w:lang w:val="es-MX"/>
        </w:rPr>
        <w:t xml:space="preserve"> Se expide la Ley de Ingresos de la Ciudad de México, para el Ejercicio Fiscal 2019, quedando establecida como sigue:</w:t>
      </w:r>
    </w:p>
    <w:p w:rsidR="00A83AF1" w:rsidRPr="00A83AF1" w:rsidRDefault="00A83AF1" w:rsidP="00A83AF1">
      <w:pPr>
        <w:jc w:val="both"/>
        <w:rPr>
          <w:rFonts w:ascii="Source Sans Pro" w:hAnsi="Source Sans Pro" w:cs="Arial"/>
          <w:b/>
          <w:color w:val="6F7271"/>
          <w:sz w:val="20"/>
          <w:szCs w:val="20"/>
        </w:rPr>
      </w:pPr>
    </w:p>
    <w:p w:rsidR="00A83AF1" w:rsidRPr="00A83AF1" w:rsidRDefault="00A83AF1" w:rsidP="00A83AF1">
      <w:pPr>
        <w:jc w:val="both"/>
        <w:rPr>
          <w:rFonts w:ascii="Source Sans Pro" w:hAnsi="Source Sans Pro" w:cs="Arial"/>
          <w:b/>
          <w:color w:val="6F7271"/>
          <w:sz w:val="20"/>
          <w:szCs w:val="20"/>
        </w:rPr>
      </w:pPr>
      <w:r w:rsidRPr="00A83AF1">
        <w:rPr>
          <w:rFonts w:ascii="Source Sans Pro" w:hAnsi="Source Sans Pro" w:cs="Arial"/>
          <w:b/>
          <w:color w:val="6F7271"/>
          <w:sz w:val="20"/>
          <w:szCs w:val="20"/>
        </w:rPr>
        <w:t>LEY DE INGRESOS DE LA CIUDAD DE MÉXICO PARA EL EJERCICIO FISCAL 2019.</w:t>
      </w:r>
    </w:p>
    <w:p w:rsidR="00A83AF1" w:rsidRPr="00A83AF1" w:rsidRDefault="00A83AF1" w:rsidP="00A83AF1">
      <w:pPr>
        <w:jc w:val="both"/>
        <w:rPr>
          <w:rFonts w:ascii="Source Sans Pro" w:hAnsi="Source Sans Pro" w:cs="Arial"/>
          <w:b/>
          <w:color w:val="6F7271"/>
          <w:sz w:val="20"/>
          <w:szCs w:val="20"/>
        </w:rPr>
      </w:pPr>
    </w:p>
    <w:p w:rsidR="00A83AF1" w:rsidRPr="00A83AF1" w:rsidRDefault="00A83AF1" w:rsidP="00A83AF1">
      <w:pPr>
        <w:jc w:val="both"/>
        <w:rPr>
          <w:rFonts w:ascii="Source Sans Pro" w:hAnsi="Source Sans Pro" w:cs="Arial"/>
          <w:noProof/>
          <w:color w:val="6F7271"/>
          <w:sz w:val="20"/>
          <w:szCs w:val="20"/>
          <w:lang w:eastAsia="es-MX"/>
        </w:rPr>
      </w:pPr>
      <w:r w:rsidRPr="00A83AF1">
        <w:rPr>
          <w:rFonts w:ascii="Source Sans Pro" w:hAnsi="Source Sans Pro" w:cs="Arial"/>
          <w:b/>
          <w:color w:val="6F7271"/>
          <w:sz w:val="20"/>
          <w:szCs w:val="20"/>
        </w:rPr>
        <w:t>Artículo 1º</w:t>
      </w:r>
      <w:r w:rsidRPr="00A83AF1">
        <w:rPr>
          <w:rFonts w:ascii="Source Sans Pro" w:hAnsi="Source Sans Pro" w:cs="Arial"/>
          <w:color w:val="6F7271"/>
          <w:sz w:val="20"/>
          <w:szCs w:val="20"/>
        </w:rPr>
        <w:t xml:space="preserve"> Para el ejercicio fiscal 2019, el Gobierno de la Ciudad de México recibirá ingresos por los conceptos y en las cantidades estimadas que a continuación se enuncian:</w:t>
      </w: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p>
    <w:p w:rsidR="00A83AF1" w:rsidRPr="00A83AF1" w:rsidRDefault="00A83AF1" w:rsidP="00A83AF1">
      <w:pPr>
        <w:tabs>
          <w:tab w:val="left" w:pos="3516"/>
        </w:tabs>
        <w:jc w:val="center"/>
        <w:rPr>
          <w:rFonts w:ascii="Source Sans Pro" w:hAnsi="Source Sans Pro" w:cs="Arial"/>
          <w:noProof/>
          <w:color w:val="6F7271"/>
          <w:sz w:val="20"/>
          <w:szCs w:val="20"/>
          <w:lang w:eastAsia="es-US"/>
        </w:rPr>
      </w:pPr>
    </w:p>
    <w:p w:rsidR="00A83AF1" w:rsidRPr="00A83AF1" w:rsidRDefault="00A83AF1" w:rsidP="00A83AF1">
      <w:pPr>
        <w:rPr>
          <w:rFonts w:ascii="Source Sans Pro" w:hAnsi="Source Sans Pro" w:cs="Arial"/>
          <w:noProof/>
          <w:color w:val="6F7271"/>
          <w:sz w:val="20"/>
          <w:szCs w:val="20"/>
          <w:lang w:eastAsia="es-US"/>
        </w:rPr>
      </w:pPr>
      <w:bookmarkStart w:id="0" w:name="_GoBack"/>
      <w:bookmarkEnd w:id="0"/>
      <w:r w:rsidRPr="00A83AF1">
        <w:rPr>
          <w:rFonts w:ascii="Source Sans Pro" w:hAnsi="Source Sans Pro" w:cs="Arial"/>
          <w:noProof/>
          <w:color w:val="6F7271"/>
          <w:sz w:val="20"/>
          <w:szCs w:val="20"/>
          <w:lang w:eastAsia="es-US"/>
        </w:rPr>
        <w:br w:type="page"/>
      </w: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val="es-MX" w:eastAsia="es-MX"/>
        </w:rPr>
        <w:lastRenderedPageBreak/>
        <w:drawing>
          <wp:inline distT="0" distB="0" distL="0" distR="0" wp14:anchorId="280AC707" wp14:editId="40821955">
            <wp:extent cx="5271231" cy="6858000"/>
            <wp:effectExtent l="0" t="0" r="5715" b="0"/>
            <wp:docPr id="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1231" cy="6858000"/>
                    </a:xfrm>
                    <a:prstGeom prst="rect">
                      <a:avLst/>
                    </a:prstGeom>
                    <a:noFill/>
                    <a:ln>
                      <a:noFill/>
                    </a:ln>
                  </pic:spPr>
                </pic:pic>
              </a:graphicData>
            </a:graphic>
          </wp:inline>
        </w:drawing>
      </w:r>
    </w:p>
    <w:p w:rsidR="00A83AF1" w:rsidRPr="00A83AF1" w:rsidRDefault="00A83AF1" w:rsidP="00A83AF1">
      <w:pP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eastAsia="es-MX"/>
        </w:rPr>
        <w:br w:type="page"/>
      </w: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val="es-MX" w:eastAsia="es-MX"/>
        </w:rPr>
        <w:drawing>
          <wp:inline distT="0" distB="0" distL="0" distR="0" wp14:anchorId="5A1297C9" wp14:editId="1655E5EB">
            <wp:extent cx="5735230" cy="6858000"/>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230" cy="6858000"/>
                    </a:xfrm>
                    <a:prstGeom prst="rect">
                      <a:avLst/>
                    </a:prstGeom>
                    <a:noFill/>
                    <a:ln>
                      <a:noFill/>
                    </a:ln>
                  </pic:spPr>
                </pic:pic>
              </a:graphicData>
            </a:graphic>
          </wp:inline>
        </w:drawing>
      </w:r>
    </w:p>
    <w:p w:rsidR="00A83AF1" w:rsidRPr="00A83AF1" w:rsidRDefault="00A83AF1" w:rsidP="00A83AF1">
      <w:pP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eastAsia="es-MX"/>
        </w:rPr>
        <w:br w:type="page"/>
      </w: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val="es-MX" w:eastAsia="es-MX"/>
        </w:rPr>
        <w:drawing>
          <wp:inline distT="0" distB="0" distL="0" distR="0" wp14:anchorId="7862316C" wp14:editId="6A0F0041">
            <wp:extent cx="5411228" cy="6858000"/>
            <wp:effectExtent l="0" t="0" r="0" b="0"/>
            <wp:docPr id="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228" cy="6858000"/>
                    </a:xfrm>
                    <a:prstGeom prst="rect">
                      <a:avLst/>
                    </a:prstGeom>
                    <a:noFill/>
                    <a:ln>
                      <a:noFill/>
                    </a:ln>
                  </pic:spPr>
                </pic:pic>
              </a:graphicData>
            </a:graphic>
          </wp:inline>
        </w:drawing>
      </w:r>
    </w:p>
    <w:p w:rsidR="00A83AF1" w:rsidRPr="00A83AF1" w:rsidRDefault="00A83AF1" w:rsidP="00A83AF1">
      <w:pP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eastAsia="es-MX"/>
        </w:rPr>
        <w:br w:type="page"/>
      </w: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p>
    <w:p w:rsidR="00A83AF1" w:rsidRPr="00A83AF1" w:rsidRDefault="00A83AF1" w:rsidP="00A83AF1">
      <w:pPr>
        <w:tabs>
          <w:tab w:val="left" w:pos="3516"/>
        </w:tabs>
        <w:jc w:val="center"/>
        <w:rPr>
          <w:rFonts w:ascii="Source Sans Pro" w:hAnsi="Source Sans Pro" w:cs="Arial"/>
          <w:noProof/>
          <w:color w:val="6F7271"/>
          <w:sz w:val="20"/>
          <w:szCs w:val="20"/>
          <w:lang w:eastAsia="es-MX"/>
        </w:rPr>
      </w:pPr>
      <w:r w:rsidRPr="00A83AF1">
        <w:rPr>
          <w:rFonts w:ascii="Source Sans Pro" w:hAnsi="Source Sans Pro" w:cs="Arial"/>
          <w:noProof/>
          <w:color w:val="6F7271"/>
          <w:sz w:val="20"/>
          <w:szCs w:val="20"/>
          <w:lang w:val="es-MX" w:eastAsia="es-MX"/>
        </w:rPr>
        <w:drawing>
          <wp:inline distT="0" distB="0" distL="0" distR="0" wp14:anchorId="5C89BFEA" wp14:editId="2B9448FA">
            <wp:extent cx="5698869" cy="6035040"/>
            <wp:effectExtent l="0" t="0" r="0" b="3810"/>
            <wp:docPr id="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869" cy="6035040"/>
                    </a:xfrm>
                    <a:prstGeom prst="rect">
                      <a:avLst/>
                    </a:prstGeom>
                    <a:noFill/>
                    <a:ln>
                      <a:noFill/>
                    </a:ln>
                  </pic:spPr>
                </pic:pic>
              </a:graphicData>
            </a:graphic>
          </wp:inline>
        </w:drawing>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rPr>
          <w:rFonts w:ascii="Source Sans Pro" w:hAnsi="Source Sans Pro" w:cs="Arial"/>
          <w:b/>
          <w:bCs/>
          <w:color w:val="6F7271"/>
          <w:sz w:val="20"/>
          <w:szCs w:val="20"/>
        </w:rPr>
      </w:pPr>
      <w:r w:rsidRPr="00A83AF1">
        <w:rPr>
          <w:rFonts w:ascii="Source Sans Pro" w:hAnsi="Source Sans Pro" w:cs="Arial"/>
          <w:b/>
          <w:bCs/>
          <w:color w:val="6F7271"/>
          <w:sz w:val="20"/>
          <w:szCs w:val="20"/>
        </w:rPr>
        <w:br w:type="page"/>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r w:rsidRPr="00A83AF1">
        <w:rPr>
          <w:rFonts w:ascii="Source Sans Pro" w:hAnsi="Source Sans Pro" w:cs="Arial"/>
          <w:noProof/>
          <w:color w:val="6F7271"/>
          <w:sz w:val="20"/>
          <w:szCs w:val="20"/>
          <w:lang w:val="es-MX" w:eastAsia="es-MX"/>
        </w:rPr>
        <w:lastRenderedPageBreak/>
        <w:drawing>
          <wp:inline distT="0" distB="0" distL="0" distR="0" wp14:anchorId="72C077E8" wp14:editId="5CC4FE5C">
            <wp:extent cx="6056486" cy="6400800"/>
            <wp:effectExtent l="0" t="0" r="1905" b="0"/>
            <wp:docPr id="10"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486" cy="6400800"/>
                    </a:xfrm>
                    <a:prstGeom prst="rect">
                      <a:avLst/>
                    </a:prstGeom>
                    <a:noFill/>
                    <a:ln>
                      <a:noFill/>
                    </a:ln>
                  </pic:spPr>
                </pic:pic>
              </a:graphicData>
            </a:graphic>
          </wp:inline>
        </w:drawing>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rPr>
          <w:rFonts w:ascii="Source Sans Pro" w:hAnsi="Source Sans Pro" w:cs="Arial"/>
          <w:b/>
          <w:bCs/>
          <w:color w:val="6F7271"/>
          <w:sz w:val="20"/>
          <w:szCs w:val="20"/>
        </w:rPr>
      </w:pPr>
      <w:r w:rsidRPr="00A83AF1">
        <w:rPr>
          <w:rFonts w:ascii="Source Sans Pro" w:hAnsi="Source Sans Pro" w:cs="Arial"/>
          <w:b/>
          <w:bCs/>
          <w:color w:val="6F7271"/>
          <w:sz w:val="20"/>
          <w:szCs w:val="20"/>
        </w:rPr>
        <w:br w:type="page"/>
      </w:r>
    </w:p>
    <w:p w:rsidR="00A83AF1" w:rsidRPr="00A83AF1" w:rsidRDefault="00A83AF1" w:rsidP="00A83AF1">
      <w:pPr>
        <w:autoSpaceDE w:val="0"/>
        <w:autoSpaceDN w:val="0"/>
        <w:adjustRightInd w:val="0"/>
        <w:jc w:val="both"/>
        <w:rPr>
          <w:rFonts w:ascii="Source Sans Pro" w:hAnsi="Source Sans Pro" w:cs="Arial"/>
          <w:b/>
          <w:bCs/>
          <w:color w:val="6F7271"/>
        </w:rPr>
      </w:pPr>
      <w:r w:rsidRPr="00A83AF1">
        <w:rPr>
          <w:rFonts w:ascii="Source Sans Pro" w:hAnsi="Source Sans Pro" w:cs="Arial"/>
          <w:noProof/>
          <w:color w:val="6F7271"/>
          <w:lang w:val="es-MX" w:eastAsia="es-MX"/>
        </w:rPr>
        <w:lastRenderedPageBreak/>
        <w:drawing>
          <wp:inline distT="0" distB="0" distL="0" distR="0" wp14:anchorId="0C5EEBA9" wp14:editId="30837CE0">
            <wp:extent cx="5612130" cy="1807532"/>
            <wp:effectExtent l="0" t="0" r="7620" b="2540"/>
            <wp:docPr id="1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07532"/>
                    </a:xfrm>
                    <a:prstGeom prst="rect">
                      <a:avLst/>
                    </a:prstGeom>
                    <a:noFill/>
                    <a:ln>
                      <a:noFill/>
                    </a:ln>
                  </pic:spPr>
                </pic:pic>
              </a:graphicData>
            </a:graphic>
          </wp:inline>
        </w:drawing>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2°. – </w:t>
      </w:r>
      <w:r w:rsidRPr="00A83AF1">
        <w:rPr>
          <w:rFonts w:ascii="Source Sans Pro" w:hAnsi="Source Sans Pro" w:cs="Arial"/>
          <w:color w:val="6F7271"/>
          <w:sz w:val="20"/>
          <w:szCs w:val="20"/>
        </w:rPr>
        <w:t>El monto de endeudamiento neto que la Jefa de Gobierno de la Ciudad de México podrá ejercer durante el Ejercicio Fiscal 2019, corresponde a lo determinado por el H. Congreso de la Unión en la Ley de Ingresos de la Federación para el Ejercicio Fiscal de 2019, por la cantidad de 5,500 millones de pesos.</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Se autoriza para la Ciudad de México la contratación y ejercicio de créditos, empréstitos y otras formas de crédito público para un endeudamiento neto de 5,500 millones de pesos para el financiamiento de obras contempladas en el Presupuesto de Egresos de la Ciudad de México para el Ejercicio Fiscal 2019.</w:t>
      </w: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Asimismo, se autoriza la contratación y ejercicio de créditos, empréstitos y otras formas de crédito público para realizar operaciones de canje o refinanciamiento de la deuda pública de la Ciudad de México.</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Los financiamientos a que se refiere este artículo se sujetarán a lo siguiente:</w:t>
      </w: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I</w:t>
      </w:r>
      <w:r w:rsidRPr="00A83AF1">
        <w:rPr>
          <w:rFonts w:ascii="Source Sans Pro" w:hAnsi="Source Sans Pro" w:cs="Arial"/>
          <w:b/>
          <w:bCs/>
          <w:color w:val="6F7271"/>
          <w:sz w:val="20"/>
          <w:szCs w:val="20"/>
        </w:rPr>
        <w:t xml:space="preserve">. </w:t>
      </w:r>
      <w:r w:rsidRPr="00A83AF1">
        <w:rPr>
          <w:rFonts w:ascii="Source Sans Pro" w:hAnsi="Source Sans Pro" w:cs="Arial"/>
          <w:color w:val="6F7271"/>
          <w:sz w:val="20"/>
          <w:szCs w:val="20"/>
        </w:rPr>
        <w:t>Deberán contratarse con apego a lo aprobado por el Congreso de la Unión, en la Ley de Ingresos de la Federación, en el artículo 33 de la Ley de Disciplina Financiera de las Entidades Federativas y los Municipios, en la Ley Federal de Deuda Pública y en las directrices de contratación que, al efecto, emita la Secretaría de Hacienda y Crédito Público.</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 </w:t>
      </w:r>
      <w:r w:rsidRPr="00A83AF1">
        <w:rPr>
          <w:rFonts w:ascii="Source Sans Pro" w:hAnsi="Source Sans Pro" w:cs="Arial"/>
          <w:color w:val="6F7271"/>
          <w:sz w:val="20"/>
          <w:szCs w:val="20"/>
        </w:rPr>
        <w:tab/>
        <w:t>Las obras que se financien con el monto de endeudamiento neto autorizado deberán:</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1. </w:t>
      </w:r>
      <w:r w:rsidRPr="00A83AF1">
        <w:rPr>
          <w:rFonts w:ascii="Source Sans Pro" w:hAnsi="Source Sans Pro" w:cs="Arial"/>
          <w:color w:val="6F7271"/>
          <w:sz w:val="20"/>
          <w:szCs w:val="20"/>
        </w:rPr>
        <w:tab/>
        <w:t xml:space="preserve">Producir directamente un incremento en los ingresos públicos y valor agregado para la sociedad. </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2. </w:t>
      </w:r>
      <w:r w:rsidRPr="00A83AF1">
        <w:rPr>
          <w:rFonts w:ascii="Source Sans Pro" w:hAnsi="Source Sans Pro" w:cs="Arial"/>
          <w:color w:val="6F7271"/>
          <w:sz w:val="20"/>
          <w:szCs w:val="20"/>
        </w:rPr>
        <w:tab/>
        <w:t>Contemplarse en el Presupuesto de Egresos de la Ciudad de México para el Ejercicio Fiscal 2019.</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3. </w:t>
      </w:r>
      <w:r w:rsidRPr="00A83AF1">
        <w:rPr>
          <w:rFonts w:ascii="Source Sans Pro" w:hAnsi="Source Sans Pro" w:cs="Arial"/>
          <w:color w:val="6F7271"/>
          <w:sz w:val="20"/>
          <w:szCs w:val="20"/>
        </w:rPr>
        <w:tab/>
        <w:t>Apegarse a las disposiciones legales aplicables.</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4. </w:t>
      </w:r>
      <w:r w:rsidRPr="00A83AF1">
        <w:rPr>
          <w:rFonts w:ascii="Source Sans Pro" w:hAnsi="Source Sans Pro" w:cs="Arial"/>
          <w:color w:val="6F7271"/>
          <w:sz w:val="20"/>
          <w:szCs w:val="20"/>
        </w:rPr>
        <w:tab/>
        <w:t>Previamente a la contratación del financiamiento respectivo, contar con registro en la cartera de inversión que integra y administra la Secretaría de Hacienda y Crédito Público, de conformidad con los términos y condiciones que la misma determine para ese efecto.</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III. </w:t>
      </w:r>
      <w:r w:rsidRPr="00A83AF1">
        <w:rPr>
          <w:rFonts w:ascii="Source Sans Pro" w:hAnsi="Source Sans Pro" w:cs="Arial"/>
          <w:color w:val="6F7271"/>
          <w:sz w:val="20"/>
          <w:szCs w:val="20"/>
        </w:rPr>
        <w:tab/>
        <w:t>Las operaciones de financiamiento deberán contratarse bajo las mejores condiciones de mercado en términos del Capítulo I del Título Tercero de la Ley de Disciplina  Financiera de las Entidades Federativas y los Municipios, que redunden en un beneficio para las finanzas de la Ciudad de México y en los instrumentos que, a consideración de la Secretaría de Hacienda y Crédito Público, no afecten las fuentes de financiamiento del sector público federal o de las demás Entidades Federativas y Municipios.</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IV. </w:t>
      </w:r>
      <w:r w:rsidRPr="00A83AF1">
        <w:rPr>
          <w:rFonts w:ascii="Source Sans Pro" w:hAnsi="Source Sans Pro" w:cs="Arial"/>
          <w:color w:val="6F7271"/>
          <w:sz w:val="20"/>
          <w:szCs w:val="20"/>
        </w:rPr>
        <w:tab/>
        <w:t xml:space="preserve">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w:t>
      </w:r>
      <w:r w:rsidRPr="00A83AF1">
        <w:rPr>
          <w:rFonts w:ascii="Source Sans Pro" w:hAnsi="Source Sans Pro" w:cs="Arial"/>
          <w:color w:val="6F7271"/>
          <w:sz w:val="20"/>
          <w:szCs w:val="20"/>
        </w:rPr>
        <w:lastRenderedPageBreak/>
        <w:t>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V. </w:t>
      </w:r>
      <w:r w:rsidRPr="00A83AF1">
        <w:rPr>
          <w:rFonts w:ascii="Source Sans Pro" w:hAnsi="Source Sans Pro" w:cs="Arial"/>
          <w:color w:val="6F7271"/>
          <w:sz w:val="20"/>
          <w:szCs w:val="20"/>
        </w:rPr>
        <w:tab/>
        <w:t xml:space="preserve">El Gobierno de la Ciudad de México, por conducto de la Jefa de Gobierno, remitirá trimestralmente al Congreso de la Unión y al Congreso de la Ciudad de México un informe sobre el estado de la deuda pública de la entidad y el ejercicio del monto autorizado, desglosado por su origen, fuente de pago y destino, especificando las características financieras de las operaciones realizadas. </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VI. </w:t>
      </w:r>
      <w:r w:rsidRPr="00A83AF1">
        <w:rPr>
          <w:rFonts w:ascii="Source Sans Pro" w:hAnsi="Source Sans Pro" w:cs="Arial"/>
          <w:color w:val="6F7271"/>
          <w:sz w:val="20"/>
          <w:szCs w:val="20"/>
        </w:rPr>
        <w:tab/>
        <w:t>La Auditoría Superior de la Federación, en coordinación con la Auditoría Superior de la Ciudad de México, realizará auditorías a los contratos y operaciones de financiamiento, a los actos asociados a la aplicación de los recursos correspondientes y al cumplimiento de lo dispuesto en este artículo.</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VII. </w:t>
      </w:r>
      <w:r w:rsidRPr="00A83AF1">
        <w:rPr>
          <w:rFonts w:ascii="Source Sans Pro" w:hAnsi="Source Sans Pro" w:cs="Arial"/>
          <w:color w:val="6F7271"/>
          <w:sz w:val="20"/>
          <w:szCs w:val="20"/>
        </w:rPr>
        <w:tab/>
        <w:t>La Jefa de Gobierno de la Ciudad de México será responsable del estricto cumplimiento de las disposiciones de este artículo, así como de la Ley de Disciplina Financiera de las Entidades Federativas y los Municipios y de las directrices de contratación que expida la Secretaría de Hacienda y Crédito Público. Las infracciones a los ordenamientos citados se sancionarán en los términos que legalmente correspondan y de conformidad al régimen de responsabilidades de los servidores públicos federales.</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VIII. </w:t>
      </w:r>
      <w:r w:rsidRPr="00A83AF1">
        <w:rPr>
          <w:rFonts w:ascii="Source Sans Pro" w:hAnsi="Source Sans Pro" w:cs="Arial"/>
          <w:color w:val="6F7271"/>
          <w:sz w:val="20"/>
          <w:szCs w:val="20"/>
        </w:rPr>
        <w:tab/>
        <w:t>Los informes de avance trimestral que la Jefa de Gobierno rinda al Congreso de la Unión y al Congreso de la Ciudad de México conforme a la fracción V de este artículo, deberán contener un apartado específico de deuda pública, de acuerdo con lo siguiente:</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1. </w:t>
      </w:r>
      <w:r w:rsidRPr="00A83AF1">
        <w:rPr>
          <w:rFonts w:ascii="Source Sans Pro" w:hAnsi="Source Sans Pro" w:cs="Arial"/>
          <w:color w:val="6F7271"/>
          <w:sz w:val="20"/>
          <w:szCs w:val="20"/>
        </w:rPr>
        <w:tab/>
        <w:t>Evolución de la deuda pública durante el periodo que se informe;</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2. </w:t>
      </w:r>
      <w:r w:rsidRPr="00A83AF1">
        <w:rPr>
          <w:rFonts w:ascii="Source Sans Pro" w:hAnsi="Source Sans Pro" w:cs="Arial"/>
          <w:color w:val="6F7271"/>
          <w:sz w:val="20"/>
          <w:szCs w:val="20"/>
        </w:rPr>
        <w:tab/>
        <w:t>Perfil de vencimientos del principal para el ejercicio fiscal correspondiente y para al menos los 5 siguientes ejercicios fiscales;</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3. </w:t>
      </w:r>
      <w:r w:rsidRPr="00A83AF1">
        <w:rPr>
          <w:rFonts w:ascii="Source Sans Pro" w:hAnsi="Source Sans Pro" w:cs="Arial"/>
          <w:color w:val="6F7271"/>
          <w:sz w:val="20"/>
          <w:szCs w:val="20"/>
        </w:rPr>
        <w:tab/>
        <w:t>Colocación de deuda autorizada, por entidad receptora y aplicación de obras específicas;</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4. </w:t>
      </w:r>
      <w:r w:rsidRPr="00A83AF1">
        <w:rPr>
          <w:rFonts w:ascii="Source Sans Pro" w:hAnsi="Source Sans Pro" w:cs="Arial"/>
          <w:color w:val="6F7271"/>
          <w:sz w:val="20"/>
          <w:szCs w:val="20"/>
        </w:rPr>
        <w:tab/>
        <w:t>Relación de obras a las que se hayan destinado los recursos de los desembolsos efectuados de cada financiamiento, que integren el endeudamiento neto autorizado;</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5. </w:t>
      </w:r>
      <w:r w:rsidRPr="00A83AF1">
        <w:rPr>
          <w:rFonts w:ascii="Source Sans Pro" w:hAnsi="Source Sans Pro" w:cs="Arial"/>
          <w:color w:val="6F7271"/>
          <w:sz w:val="20"/>
          <w:szCs w:val="20"/>
        </w:rPr>
        <w:tab/>
        <w:t>Composición del saldo de la deuda por usuario de los recursos y por acreedor;</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6. </w:t>
      </w:r>
      <w:r w:rsidRPr="00A83AF1">
        <w:rPr>
          <w:rFonts w:ascii="Source Sans Pro" w:hAnsi="Source Sans Pro" w:cs="Arial"/>
          <w:color w:val="6F7271"/>
          <w:sz w:val="20"/>
          <w:szCs w:val="20"/>
        </w:rPr>
        <w:tab/>
        <w:t>Servicio de la deuda;</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7. </w:t>
      </w:r>
      <w:r w:rsidRPr="00A83AF1">
        <w:rPr>
          <w:rFonts w:ascii="Source Sans Pro" w:hAnsi="Source Sans Pro" w:cs="Arial"/>
          <w:color w:val="6F7271"/>
          <w:sz w:val="20"/>
          <w:szCs w:val="20"/>
        </w:rPr>
        <w:tab/>
        <w:t>Costo financiero de la deuda;</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8. </w:t>
      </w:r>
      <w:r w:rsidRPr="00A83AF1">
        <w:rPr>
          <w:rFonts w:ascii="Source Sans Pro" w:hAnsi="Source Sans Pro" w:cs="Arial"/>
          <w:color w:val="6F7271"/>
          <w:sz w:val="20"/>
          <w:szCs w:val="20"/>
        </w:rPr>
        <w:tab/>
        <w:t>Canje o refinanciamiento;</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9. </w:t>
      </w:r>
      <w:r w:rsidRPr="00A83AF1">
        <w:rPr>
          <w:rFonts w:ascii="Source Sans Pro" w:hAnsi="Source Sans Pro" w:cs="Arial"/>
          <w:color w:val="6F7271"/>
          <w:sz w:val="20"/>
          <w:szCs w:val="20"/>
        </w:rPr>
        <w:tab/>
        <w:t>Evolución por línea de crédito;</w:t>
      </w:r>
    </w:p>
    <w:p w:rsidR="00A83AF1" w:rsidRPr="00A83AF1" w:rsidRDefault="00A83AF1" w:rsidP="00A83AF1">
      <w:pPr>
        <w:autoSpaceDE w:val="0"/>
        <w:autoSpaceDN w:val="0"/>
        <w:adjustRightInd w:val="0"/>
        <w:ind w:left="1134"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10. </w:t>
      </w:r>
      <w:r w:rsidRPr="00A83AF1">
        <w:rPr>
          <w:rFonts w:ascii="Source Sans Pro" w:hAnsi="Source Sans Pro" w:cs="Arial"/>
          <w:color w:val="6F7271"/>
          <w:sz w:val="20"/>
          <w:szCs w:val="20"/>
        </w:rPr>
        <w:tab/>
        <w:t>Programa de colocación para el resto del ejercicio fiscal.</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IX. </w:t>
      </w:r>
      <w:r w:rsidRPr="00A83AF1">
        <w:rPr>
          <w:rFonts w:ascii="Source Sans Pro" w:hAnsi="Source Sans Pro" w:cs="Arial"/>
          <w:color w:val="6F7271"/>
          <w:sz w:val="20"/>
          <w:szCs w:val="20"/>
        </w:rPr>
        <w:tab/>
        <w:t>La Jefa de Gobierno de la Ciudad de México, por conducto de la Secretaría de Administración y Finanzas, remitirá al Congreso de la Unión y al Congreso de la Ciudad de México a más tardar el 29 de marzo de 2019, el programa de colocación de la deuda autorizada para el ejercicio fiscal de 2019.</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El ejercicio del monto de endeudamiento autorizado se sujetará a lo dispuesto en la Ley de Disciplina Financiera de las Entidades Federativas y los Municipios.”</w:t>
      </w:r>
    </w:p>
    <w:p w:rsidR="00A83AF1" w:rsidRPr="00A83AF1" w:rsidRDefault="00A83AF1" w:rsidP="00A83AF1">
      <w:pPr>
        <w:autoSpaceDE w:val="0"/>
        <w:autoSpaceDN w:val="0"/>
        <w:adjustRightInd w:val="0"/>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3°. - </w:t>
      </w:r>
      <w:r w:rsidRPr="00A83AF1">
        <w:rPr>
          <w:rFonts w:ascii="Source Sans Pro" w:hAnsi="Source Sans Pro" w:cs="Arial"/>
          <w:color w:val="6F7271"/>
          <w:sz w:val="20"/>
          <w:szCs w:val="20"/>
        </w:rPr>
        <w:t>En caso de pago a plazos de los créditos fiscales, ya sea diferido o en parcialidades, se causarán recargos al dos por ciento mensual sobre los créditos fiscales, excluidos los accesorios, durante el ejercicio fiscal 2019.  Esta tasa podrá reducirse, en su caso, a la que resulte mayor entre:</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lastRenderedPageBreak/>
        <w:t xml:space="preserve">I. </w:t>
      </w:r>
      <w:r w:rsidRPr="00A83AF1">
        <w:rPr>
          <w:rFonts w:ascii="Source Sans Pro" w:hAnsi="Source Sans Pro" w:cs="Arial"/>
          <w:color w:val="6F7271"/>
          <w:sz w:val="20"/>
          <w:szCs w:val="20"/>
        </w:rPr>
        <w:tab/>
        <w:t>Aplicar el factor de 1.5 al promedio mensual de la Tasa de Interés Interbancaria de Equilibrio (TIIE) que publica el Banco de México en el Diario Oficial de la Federación del penúltimo mes inmediato anterior a aquél por el que se calculan los recargos y de dividir entre doce el resultado de dicha multiplicación. A la tasa anterior se le restará el incremento porcentual del Índice Nacional de Precios al Consumidor del penúltimo mes inmediato anterior a aquél por el que se calculan los recargos.</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 </w:t>
      </w:r>
      <w:r w:rsidRPr="00A83AF1">
        <w:rPr>
          <w:rFonts w:ascii="Source Sans Pro" w:hAnsi="Source Sans Pro" w:cs="Arial"/>
          <w:color w:val="6F7271"/>
          <w:sz w:val="20"/>
          <w:szCs w:val="20"/>
        </w:rPr>
        <w:tab/>
        <w:t>Sumar ocho puntos porcentuales al promedio mensual de la Tasa de Interés Interbancaria de Equilibrio (TIIE) que publica el Banco de México en el Diario Oficial de la Federación del penúltimo mes inmediato anterior a aquél por el que se calculan los recargos y de dividir entre doce el resultado de dicha suma. A la tasa anterior se le restará el incremento porcentual del Índice Nacional de Precios al Consumidor del penúltimo mes inmediato anterior a aquél por el que se calculan los recargos.</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La Secretaría de Administración y Finanzas realizará los cálculos a que se refiere este artículo y publicará la tasa de recargos vigente para cada mes en la Gaceta Oficial de la Ciudad de México.</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4°. - </w:t>
      </w:r>
      <w:r w:rsidRPr="00A83AF1">
        <w:rPr>
          <w:rFonts w:ascii="Source Sans Pro" w:hAnsi="Source Sans Pro" w:cs="Arial"/>
          <w:color w:val="6F7271"/>
          <w:sz w:val="20"/>
          <w:szCs w:val="20"/>
        </w:rPr>
        <w:t>Los ingresos que se recauden por los diversos conceptos que establece esta Ley se concentrarán sin excepción en la Tesorería de la Ciudad de México salvo lo previsto en el Código Fiscal de la Ciudad de México y deberán reflejarse, cualquiera que sea su forma o naturaleza, tanto en los registros de la propia Tesorería como en la Cuenta Pública de la Ciudad de México.</w:t>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5°. - </w:t>
      </w:r>
      <w:r w:rsidRPr="00A83AF1">
        <w:rPr>
          <w:rFonts w:ascii="Source Sans Pro" w:hAnsi="Source Sans Pro" w:cs="Arial"/>
          <w:color w:val="6F7271"/>
          <w:sz w:val="20"/>
          <w:szCs w:val="20"/>
        </w:rPr>
        <w:t>Los recursos remanentes de los ejercicios fiscales anteriores serán considerados ingresos para todos los efectos, y se aplicarán conforme a lo dispuesto en la Ley de Disciplina Financiera de las Entidades Federativas y los Municipios, Ley de Presupuesto y Gasto Eficiente de la Ciudad de México y demás normatividad aplicable. La Jefa de Gobierno de la Ciudad de México por conducto de la Secretaría de Administración y Finanzas, remitirá al Congreso de la Ciudad de México, dirigido a las Comisiones de Hacienda y a la Comisión de Presupuesto y Cuenta Pública, respetando en todo momento lo establecido en la Ley de Presupuesto y Gasto Eficiente de la Ciudad de México en el Artículo 71, incluido el plazo ahí contenido, un informe de los recursos remanentes de los ejercicios fiscales anteriores que agregue lo aquí establecido.</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Dicho informe debe contener:</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 </w:t>
      </w:r>
      <w:r w:rsidRPr="00A83AF1">
        <w:rPr>
          <w:rFonts w:ascii="Source Sans Pro" w:hAnsi="Source Sans Pro" w:cs="Arial"/>
          <w:color w:val="6F7271"/>
          <w:sz w:val="20"/>
          <w:szCs w:val="20"/>
        </w:rPr>
        <w:tab/>
        <w:t>Origen del recurso por trimestre.</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 </w:t>
      </w:r>
      <w:r w:rsidRPr="00A83AF1">
        <w:rPr>
          <w:rFonts w:ascii="Source Sans Pro" w:hAnsi="Source Sans Pro" w:cs="Arial"/>
          <w:color w:val="6F7271"/>
          <w:sz w:val="20"/>
          <w:szCs w:val="20"/>
        </w:rPr>
        <w:tab/>
        <w:t>Monto del recurso por trimestre.</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III. </w:t>
      </w:r>
      <w:r w:rsidRPr="00A83AF1">
        <w:rPr>
          <w:rFonts w:ascii="Source Sans Pro" w:hAnsi="Source Sans Pro" w:cs="Arial"/>
          <w:color w:val="6F7271"/>
          <w:sz w:val="20"/>
          <w:szCs w:val="20"/>
        </w:rPr>
        <w:tab/>
        <w:t>Causa extraordinaria del remanente, en caso de existir.</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IV. </w:t>
      </w:r>
      <w:r w:rsidRPr="00A83AF1">
        <w:rPr>
          <w:rFonts w:ascii="Source Sans Pro" w:hAnsi="Source Sans Pro" w:cs="Arial"/>
          <w:color w:val="6F7271"/>
          <w:sz w:val="20"/>
          <w:szCs w:val="20"/>
        </w:rPr>
        <w:tab/>
        <w:t>Histórico de al menos 4 ejercicios fiscales anteriores de los rubros en donde fueron reclasificados dichos remanentes.</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V. </w:t>
      </w:r>
      <w:r w:rsidRPr="00A83AF1">
        <w:rPr>
          <w:rFonts w:ascii="Source Sans Pro" w:hAnsi="Source Sans Pro" w:cs="Arial"/>
          <w:color w:val="6F7271"/>
          <w:sz w:val="20"/>
          <w:szCs w:val="20"/>
        </w:rPr>
        <w:tab/>
        <w:t>El comportamiento financiero del Fondo para Estabilizar los Recursos Presupuestales de la Administración Pública de la Ciudad de México.</w:t>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tabs>
          <w:tab w:val="left" w:pos="3516"/>
        </w:tabs>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6°. - </w:t>
      </w:r>
      <w:r w:rsidRPr="00A83AF1">
        <w:rPr>
          <w:rFonts w:ascii="Source Sans Pro" w:hAnsi="Source Sans Pro" w:cs="Arial"/>
          <w:color w:val="6F7271"/>
          <w:sz w:val="20"/>
          <w:szCs w:val="20"/>
        </w:rPr>
        <w:t xml:space="preserve">No serán aplicables las disposiciones distintas a las establecidas en el Código Fiscal de la Ciudad de México, la Ley de Presupuesto y Gasto Eficiente de la Ciudad de México y en esta Ley de Ingresos de la Ciudad de México, que contengan exenciones, totales o parciales, o consideren a personas físicas o </w:t>
      </w:r>
      <w:r w:rsidRPr="00A83AF1">
        <w:rPr>
          <w:rFonts w:ascii="Source Sans Pro" w:hAnsi="Source Sans Pro" w:cs="Arial"/>
          <w:color w:val="6F7271"/>
          <w:sz w:val="20"/>
          <w:szCs w:val="20"/>
        </w:rPr>
        <w:lastRenderedPageBreak/>
        <w:t xml:space="preserve">morales como no sujetos de contribuciones locales, o </w:t>
      </w:r>
      <w:proofErr w:type="gramStart"/>
      <w:r w:rsidRPr="00A83AF1">
        <w:rPr>
          <w:rFonts w:ascii="Source Sans Pro" w:hAnsi="Source Sans Pro" w:cs="Arial"/>
          <w:color w:val="6F7271"/>
          <w:sz w:val="20"/>
          <w:szCs w:val="20"/>
        </w:rPr>
        <w:t>les  otorguen</w:t>
      </w:r>
      <w:proofErr w:type="gramEnd"/>
      <w:r w:rsidRPr="00A83AF1">
        <w:rPr>
          <w:rFonts w:ascii="Source Sans Pro" w:hAnsi="Source Sans Pro" w:cs="Arial"/>
          <w:color w:val="6F7271"/>
          <w:sz w:val="20"/>
          <w:szCs w:val="20"/>
        </w:rPr>
        <w:t xml:space="preserve"> tratamientos preferenciales o diferenciales en materia de ingresos o contribuciones locales.</w:t>
      </w:r>
    </w:p>
    <w:p w:rsidR="00A83AF1" w:rsidRPr="00A83AF1" w:rsidRDefault="00A83AF1" w:rsidP="00A83AF1">
      <w:pPr>
        <w:tabs>
          <w:tab w:val="left" w:pos="3516"/>
        </w:tabs>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7°. - </w:t>
      </w:r>
      <w:r w:rsidRPr="00A83AF1">
        <w:rPr>
          <w:rFonts w:ascii="Source Sans Pro" w:hAnsi="Source Sans Pro" w:cs="Arial"/>
          <w:color w:val="6F7271"/>
          <w:sz w:val="20"/>
          <w:szCs w:val="20"/>
        </w:rPr>
        <w:t>Las Alcaldías podrán ser promotoras de la incorporación de las personas físicas que realicen actividades empresariales, enajenen bienes o presten servicios por los que no se requiera título profesional, al denominado Régimen de Incorporación Fiscal que en su momento convenga la Secretaría de Administración y Finanzas con el Servicio de Administración Tributaria. Para tal efecto, las Alcaldías deberán solicitar suscribir un convenio de colaboración con la Secretaría de Administración y Finanzas, mismo que establecerá la mecánica de operación y el mecanismo para percibir los incentivos de aquellos contribuyentes que se incorporen al referido régimen y cumplan con las obligaciones que respecto al mismo le corresponde.</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Dichos incentivos serán fijados en función de la recaudación efectivamente obtenida por cada contribuyente sujeto a ese régimen.</w:t>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8°.- </w:t>
      </w:r>
      <w:r w:rsidRPr="00A83AF1">
        <w:rPr>
          <w:rFonts w:ascii="Source Sans Pro" w:hAnsi="Source Sans Pro" w:cs="Arial"/>
          <w:color w:val="6F7271"/>
          <w:sz w:val="20"/>
          <w:szCs w:val="20"/>
        </w:rPr>
        <w:t>Las cuotas y tarifas de las contribuciones y multas que estén vigentes en el Código Fiscal de la Ciudad de México en diciembre del 2018, así como las demás tarifas relacionadas con la prestación de servicios cuando no haya disposición expresa que disponga lo contrario, se incrementarán por lo menos en 5.21 por ciento salvo cuando los ajustes requieran ser distintos debido a la conveniencia o necesidad de redondear cantidades monetarias, asociada a la imposibilidad o dificultad de nominar los pagos en cantidades que resulten prácticas para su pago, a partir de una determinada base.</w:t>
      </w:r>
    </w:p>
    <w:p w:rsidR="00A83AF1" w:rsidRPr="00A83AF1" w:rsidRDefault="00A83AF1" w:rsidP="00A83AF1">
      <w:pPr>
        <w:rPr>
          <w:rFonts w:ascii="Source Sans Pro" w:hAnsi="Source Sans Pro" w:cs="Arial"/>
          <w:b/>
          <w:bCs/>
          <w:color w:val="6F7271"/>
          <w:sz w:val="20"/>
          <w:szCs w:val="20"/>
        </w:rPr>
      </w:pPr>
    </w:p>
    <w:p w:rsidR="00A83AF1" w:rsidRPr="00A83AF1" w:rsidRDefault="00A83AF1" w:rsidP="00A83AF1">
      <w:pPr>
        <w:tabs>
          <w:tab w:val="left" w:pos="3516"/>
        </w:tabs>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9°.- </w:t>
      </w:r>
      <w:r w:rsidRPr="00A83AF1">
        <w:rPr>
          <w:rFonts w:ascii="Source Sans Pro" w:hAnsi="Source Sans Pro" w:cs="Arial"/>
          <w:color w:val="6F7271"/>
          <w:sz w:val="20"/>
          <w:szCs w:val="20"/>
        </w:rPr>
        <w:t>El Cuarto Informe de Avance Trimestral que la Jefa de Gobierno rinda al Congreso de la Ciudad de México, a través de la Secretaría de Administración y Finanzas, deberá incluir un apartado denominado Gastos Fiscales de la Ciudad de México, en el cual se informe de la aplicación de aquellos Programas, Resoluciones o Acuerdos que tengan como fin el exentar, condonar, reducir y en general cualquier instrumento que otorgue facilidades administrativas o beneficios fiscales respecto al pago de créditos fiscales de contribuciones o los accesorios de éstos que se encuentren previstos tanto en el Código Fiscal de la Ciudad de México como en las diversas normas de carácter local.</w:t>
      </w:r>
    </w:p>
    <w:p w:rsidR="00A83AF1" w:rsidRPr="00A83AF1" w:rsidRDefault="00A83AF1" w:rsidP="00A83AF1">
      <w:pPr>
        <w:tabs>
          <w:tab w:val="left" w:pos="3516"/>
        </w:tabs>
        <w:jc w:val="both"/>
        <w:rPr>
          <w:rFonts w:ascii="Source Sans Pro" w:hAnsi="Source Sans Pro" w:cs="Arial"/>
          <w:noProof/>
          <w:color w:val="6F7271"/>
          <w:sz w:val="20"/>
          <w:szCs w:val="20"/>
          <w:lang w:eastAsia="es-MX"/>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color w:val="6F7271"/>
          <w:sz w:val="20"/>
          <w:szCs w:val="20"/>
        </w:rPr>
        <w:t>El apartado señalado en el párrafo anterior, deberá contener cuando menos la información que a continuación se indica, desglosada por instrumento:</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 </w:t>
      </w:r>
      <w:r w:rsidRPr="00A83AF1">
        <w:rPr>
          <w:rFonts w:ascii="Source Sans Pro" w:hAnsi="Source Sans Pro" w:cs="Arial"/>
          <w:color w:val="6F7271"/>
          <w:sz w:val="20"/>
          <w:szCs w:val="20"/>
        </w:rPr>
        <w:tab/>
        <w:t>El monto de los recursos que ha dejado de percibir la Hacienda Pública de la Ciudad de México.</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 </w:t>
      </w:r>
      <w:r w:rsidRPr="00A83AF1">
        <w:rPr>
          <w:rFonts w:ascii="Source Sans Pro" w:hAnsi="Source Sans Pro" w:cs="Arial"/>
          <w:color w:val="6F7271"/>
          <w:sz w:val="20"/>
          <w:szCs w:val="20"/>
        </w:rPr>
        <w:tab/>
        <w:t>El número de contribuyentes que fueron beneficiados.</w:t>
      </w: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III. </w:t>
      </w:r>
      <w:r w:rsidRPr="00A83AF1">
        <w:rPr>
          <w:rFonts w:ascii="Source Sans Pro" w:hAnsi="Source Sans Pro" w:cs="Arial"/>
          <w:color w:val="6F7271"/>
          <w:sz w:val="20"/>
          <w:szCs w:val="20"/>
        </w:rPr>
        <w:tab/>
        <w:t>Los sectores o actividades beneficiadas, en su caso.</w:t>
      </w:r>
    </w:p>
    <w:p w:rsidR="00A83AF1" w:rsidRPr="00A83AF1" w:rsidRDefault="00A83AF1" w:rsidP="00A83AF1">
      <w:pPr>
        <w:ind w:left="567" w:hanging="567"/>
        <w:rPr>
          <w:rFonts w:ascii="Source Sans Pro" w:hAnsi="Source Sans Pro" w:cs="Arial"/>
          <w:color w:val="6F7271"/>
          <w:sz w:val="20"/>
          <w:szCs w:val="20"/>
        </w:rPr>
      </w:pPr>
    </w:p>
    <w:p w:rsidR="00A83AF1" w:rsidRPr="00A83AF1" w:rsidRDefault="00A83AF1" w:rsidP="00A83AF1">
      <w:pPr>
        <w:autoSpaceDE w:val="0"/>
        <w:autoSpaceDN w:val="0"/>
        <w:adjustRightInd w:val="0"/>
        <w:ind w:left="567" w:hanging="567"/>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IV. </w:t>
      </w:r>
      <w:r w:rsidRPr="00A83AF1">
        <w:rPr>
          <w:rFonts w:ascii="Source Sans Pro" w:hAnsi="Source Sans Pro" w:cs="Arial"/>
          <w:color w:val="6F7271"/>
          <w:sz w:val="20"/>
          <w:szCs w:val="20"/>
        </w:rPr>
        <w:tab/>
        <w:t>Las contribuciones respecto de las cuales se otorgó un beneficio fiscal.</w:t>
      </w:r>
    </w:p>
    <w:p w:rsidR="00A83AF1" w:rsidRPr="00A83AF1" w:rsidRDefault="00A83AF1" w:rsidP="00A83AF1">
      <w:pPr>
        <w:autoSpaceDE w:val="0"/>
        <w:autoSpaceDN w:val="0"/>
        <w:adjustRightInd w:val="0"/>
        <w:jc w:val="center"/>
        <w:rPr>
          <w:rFonts w:ascii="Source Sans Pro" w:hAnsi="Source Sans Pro" w:cs="Arial"/>
          <w:b/>
          <w:bCs/>
          <w:color w:val="6F7271"/>
          <w:sz w:val="20"/>
          <w:szCs w:val="20"/>
        </w:rPr>
      </w:pPr>
    </w:p>
    <w:p w:rsidR="00A83AF1" w:rsidRPr="00A83AF1" w:rsidRDefault="00A83AF1" w:rsidP="00A83AF1">
      <w:pPr>
        <w:autoSpaceDE w:val="0"/>
        <w:autoSpaceDN w:val="0"/>
        <w:adjustRightInd w:val="0"/>
        <w:jc w:val="center"/>
        <w:rPr>
          <w:rFonts w:ascii="Source Sans Pro" w:hAnsi="Source Sans Pro" w:cs="Arial"/>
          <w:b/>
          <w:bCs/>
          <w:color w:val="6F7271"/>
          <w:sz w:val="20"/>
          <w:szCs w:val="20"/>
        </w:rPr>
      </w:pPr>
      <w:r w:rsidRPr="00A83AF1">
        <w:rPr>
          <w:rFonts w:ascii="Source Sans Pro" w:hAnsi="Source Sans Pro" w:cs="Arial"/>
          <w:b/>
          <w:bCs/>
          <w:color w:val="6F7271"/>
          <w:sz w:val="20"/>
          <w:szCs w:val="20"/>
        </w:rPr>
        <w:t>TRANSITORIOS.</w:t>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Primero. - </w:t>
      </w:r>
      <w:r w:rsidRPr="00A83AF1">
        <w:rPr>
          <w:rFonts w:ascii="Source Sans Pro" w:hAnsi="Source Sans Pro" w:cs="Arial"/>
          <w:color w:val="6F7271"/>
          <w:sz w:val="20"/>
          <w:szCs w:val="20"/>
        </w:rPr>
        <w:t>La presente Ley entrará en vigor el día primero de enero de 2019.</w:t>
      </w:r>
    </w:p>
    <w:p w:rsidR="00A83AF1" w:rsidRPr="00A83AF1" w:rsidRDefault="00A83AF1" w:rsidP="00A83AF1">
      <w:pPr>
        <w:autoSpaceDE w:val="0"/>
        <w:autoSpaceDN w:val="0"/>
        <w:adjustRightInd w:val="0"/>
        <w:jc w:val="both"/>
        <w:rPr>
          <w:rFonts w:ascii="Source Sans Pro" w:hAnsi="Source Sans Pro" w:cs="Arial"/>
          <w:b/>
          <w:bCs/>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Segundo. - </w:t>
      </w:r>
      <w:r w:rsidRPr="00A83AF1">
        <w:rPr>
          <w:rFonts w:ascii="Source Sans Pro" w:hAnsi="Source Sans Pro" w:cs="Arial"/>
          <w:color w:val="6F7271"/>
          <w:sz w:val="20"/>
          <w:szCs w:val="20"/>
        </w:rPr>
        <w:t>Se derogan todas las disposiciones que se opongan a la presente Ley.</w:t>
      </w:r>
    </w:p>
    <w:p w:rsidR="00A83AF1" w:rsidRPr="00A83AF1" w:rsidRDefault="00A83AF1" w:rsidP="00A83AF1">
      <w:pPr>
        <w:autoSpaceDE w:val="0"/>
        <w:autoSpaceDN w:val="0"/>
        <w:adjustRightInd w:val="0"/>
        <w:jc w:val="both"/>
        <w:rPr>
          <w:rFonts w:ascii="Source Sans Pro" w:hAnsi="Source Sans Pro" w:cs="Arial"/>
          <w:color w:val="6F7271"/>
          <w:sz w:val="20"/>
          <w:szCs w:val="20"/>
        </w:rPr>
      </w:pPr>
    </w:p>
    <w:p w:rsidR="00A83AF1" w:rsidRPr="00A83AF1" w:rsidRDefault="00A83AF1" w:rsidP="00A83AF1">
      <w:pPr>
        <w:autoSpaceDE w:val="0"/>
        <w:autoSpaceDN w:val="0"/>
        <w:adjustRightInd w:val="0"/>
        <w:jc w:val="both"/>
        <w:rPr>
          <w:rFonts w:ascii="Source Sans Pro" w:hAnsi="Source Sans Pro" w:cs="Arial"/>
          <w:color w:val="6F7271"/>
          <w:sz w:val="20"/>
          <w:szCs w:val="20"/>
        </w:rPr>
      </w:pPr>
      <w:r w:rsidRPr="00A83AF1">
        <w:rPr>
          <w:rFonts w:ascii="Source Sans Pro" w:hAnsi="Source Sans Pro" w:cs="Arial"/>
          <w:b/>
          <w:bCs/>
          <w:color w:val="6F7271"/>
          <w:sz w:val="20"/>
          <w:szCs w:val="20"/>
        </w:rPr>
        <w:t xml:space="preserve">Artículo Tercero. - </w:t>
      </w:r>
      <w:r w:rsidRPr="00A83AF1">
        <w:rPr>
          <w:rFonts w:ascii="Source Sans Pro" w:hAnsi="Source Sans Pro" w:cs="Arial"/>
          <w:color w:val="6F7271"/>
          <w:sz w:val="20"/>
          <w:szCs w:val="20"/>
        </w:rPr>
        <w:t xml:space="preserve">Las Alcaldías que suscriban el convenio a que se refiere el segundo párrafo del Artículo 7° de esta Ley, recibirán un incentivo económico tomando como base la recaudación efectiva bimestral que </w:t>
      </w:r>
      <w:r w:rsidRPr="00A83AF1">
        <w:rPr>
          <w:rFonts w:ascii="Source Sans Pro" w:hAnsi="Source Sans Pro" w:cs="Arial"/>
          <w:color w:val="6F7271"/>
          <w:sz w:val="20"/>
          <w:szCs w:val="20"/>
        </w:rPr>
        <w:lastRenderedPageBreak/>
        <w:t>ingrese a la Tesorería, derivado de los actos de incorporación referidos en el mismo, correspondientes a su demarcación.</w:t>
      </w:r>
    </w:p>
    <w:p w:rsidR="00A83AF1" w:rsidRPr="00A83AF1" w:rsidRDefault="00A83AF1" w:rsidP="00A83AF1">
      <w:pPr>
        <w:jc w:val="both"/>
        <w:rPr>
          <w:rFonts w:ascii="Source Sans Pro" w:hAnsi="Source Sans Pro" w:cs="Arial"/>
          <w:color w:val="6F7271"/>
          <w:sz w:val="20"/>
          <w:szCs w:val="20"/>
        </w:rPr>
      </w:pPr>
    </w:p>
    <w:p w:rsidR="00A83AF1" w:rsidRPr="00A83AF1" w:rsidRDefault="00A83AF1" w:rsidP="00A83AF1">
      <w:pPr>
        <w:rPr>
          <w:rFonts w:ascii="Source Sans Pro" w:hAnsi="Source Sans Pro" w:cs="Arial"/>
          <w:b/>
          <w:color w:val="6F7271"/>
        </w:rPr>
      </w:pPr>
      <w:r w:rsidRPr="00A83AF1">
        <w:rPr>
          <w:rFonts w:ascii="Source Sans Pro" w:hAnsi="Source Sans Pro" w:cs="Arial"/>
          <w:b/>
          <w:color w:val="6F7271"/>
        </w:rPr>
        <w:t>ANEXO 1</w:t>
      </w:r>
    </w:p>
    <w:p w:rsidR="00A83AF1" w:rsidRPr="00A83AF1" w:rsidRDefault="00A83AF1" w:rsidP="00A83AF1">
      <w:pPr>
        <w:jc w:val="center"/>
        <w:rPr>
          <w:rFonts w:ascii="Source Sans Pro" w:hAnsi="Source Sans Pro" w:cs="Arial"/>
          <w:b/>
          <w:color w:val="6F7271"/>
        </w:rPr>
      </w:pPr>
      <w:r w:rsidRPr="00A83AF1">
        <w:rPr>
          <w:rFonts w:ascii="Source Sans Pro" w:hAnsi="Source Sans Pro" w:cs="Arial"/>
          <w:noProof/>
          <w:color w:val="6F7271"/>
          <w:lang w:val="es-MX" w:eastAsia="es-MX"/>
        </w:rPr>
        <w:drawing>
          <wp:inline distT="0" distB="0" distL="0" distR="0" wp14:anchorId="3F5A65FB" wp14:editId="0A072867">
            <wp:extent cx="6130989" cy="5760720"/>
            <wp:effectExtent l="0" t="0" r="3175" b="0"/>
            <wp:docPr id="1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989" cy="5760720"/>
                    </a:xfrm>
                    <a:prstGeom prst="rect">
                      <a:avLst/>
                    </a:prstGeom>
                    <a:noFill/>
                    <a:ln>
                      <a:noFill/>
                    </a:ln>
                  </pic:spPr>
                </pic:pic>
              </a:graphicData>
            </a:graphic>
          </wp:inline>
        </w:drawing>
      </w:r>
    </w:p>
    <w:p w:rsidR="00A83AF1" w:rsidRPr="00A83AF1" w:rsidRDefault="00A83AF1" w:rsidP="00A83AF1">
      <w:pPr>
        <w:jc w:val="center"/>
        <w:rPr>
          <w:rFonts w:ascii="Source Sans Pro" w:hAnsi="Source Sans Pro" w:cs="Arial"/>
          <w:color w:val="6F7271"/>
        </w:rPr>
      </w:pPr>
    </w:p>
    <w:p w:rsidR="00A83AF1" w:rsidRPr="00A83AF1" w:rsidRDefault="00A83AF1" w:rsidP="00A83AF1">
      <w:pPr>
        <w:rPr>
          <w:rFonts w:ascii="Source Sans Pro" w:hAnsi="Source Sans Pro" w:cs="Arial"/>
          <w:color w:val="6F7271"/>
        </w:rPr>
      </w:pPr>
    </w:p>
    <w:p w:rsidR="00A83AF1" w:rsidRPr="00A83AF1" w:rsidRDefault="00A83AF1" w:rsidP="00A83AF1">
      <w:pPr>
        <w:rPr>
          <w:rFonts w:ascii="Source Sans Pro" w:hAnsi="Source Sans Pro" w:cs="Arial"/>
          <w:color w:val="6F7271"/>
        </w:rPr>
      </w:pPr>
      <w:r w:rsidRPr="00A83AF1">
        <w:rPr>
          <w:rFonts w:ascii="Source Sans Pro" w:hAnsi="Source Sans Pro" w:cs="Arial"/>
          <w:color w:val="6F7271"/>
        </w:rPr>
        <w:br w:type="page"/>
      </w:r>
    </w:p>
    <w:p w:rsidR="00A83AF1" w:rsidRPr="00A83AF1" w:rsidRDefault="00A83AF1" w:rsidP="00A83AF1">
      <w:pPr>
        <w:rPr>
          <w:rFonts w:ascii="Source Sans Pro" w:hAnsi="Source Sans Pro" w:cs="Arial"/>
          <w:color w:val="6F7271"/>
        </w:rPr>
      </w:pPr>
    </w:p>
    <w:p w:rsidR="00A83AF1" w:rsidRPr="00A83AF1" w:rsidRDefault="00A83AF1" w:rsidP="00A83AF1">
      <w:pPr>
        <w:tabs>
          <w:tab w:val="left" w:pos="3128"/>
        </w:tabs>
        <w:jc w:val="center"/>
        <w:rPr>
          <w:rFonts w:ascii="Source Sans Pro" w:hAnsi="Source Sans Pro" w:cs="Arial"/>
          <w:b/>
          <w:color w:val="6F7271"/>
        </w:rPr>
      </w:pPr>
      <w:r w:rsidRPr="00A83AF1">
        <w:rPr>
          <w:rFonts w:ascii="Source Sans Pro" w:hAnsi="Source Sans Pro" w:cs="Arial"/>
          <w:b/>
          <w:color w:val="6F7271"/>
        </w:rPr>
        <w:t>ANEXO 2</w:t>
      </w:r>
    </w:p>
    <w:p w:rsidR="00A83AF1" w:rsidRPr="00A83AF1" w:rsidRDefault="00A83AF1" w:rsidP="00A83AF1">
      <w:pPr>
        <w:tabs>
          <w:tab w:val="left" w:pos="3128"/>
        </w:tabs>
        <w:jc w:val="center"/>
        <w:rPr>
          <w:rFonts w:ascii="Source Sans Pro" w:hAnsi="Source Sans Pro" w:cs="Arial"/>
          <w:b/>
          <w:color w:val="6F7271"/>
        </w:rPr>
      </w:pPr>
      <w:r w:rsidRPr="00A83AF1">
        <w:rPr>
          <w:rFonts w:ascii="Source Sans Pro" w:hAnsi="Source Sans Pro" w:cs="Arial"/>
          <w:noProof/>
          <w:color w:val="6F7271"/>
          <w:lang w:val="es-MX" w:eastAsia="es-MX"/>
        </w:rPr>
        <w:drawing>
          <wp:inline distT="0" distB="0" distL="0" distR="0" wp14:anchorId="4FA59F34" wp14:editId="1FD9790A">
            <wp:extent cx="6176569" cy="5486400"/>
            <wp:effectExtent l="0" t="0" r="0" b="0"/>
            <wp:docPr id="13"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6569" cy="5486400"/>
                    </a:xfrm>
                    <a:prstGeom prst="rect">
                      <a:avLst/>
                    </a:prstGeom>
                    <a:noFill/>
                    <a:ln>
                      <a:noFill/>
                    </a:ln>
                  </pic:spPr>
                </pic:pic>
              </a:graphicData>
            </a:graphic>
          </wp:inline>
        </w:drawing>
      </w:r>
    </w:p>
    <w:p w:rsidR="00A83AF1" w:rsidRPr="00A83AF1" w:rsidRDefault="00A83AF1" w:rsidP="00A83AF1">
      <w:pPr>
        <w:tabs>
          <w:tab w:val="left" w:pos="3128"/>
        </w:tabs>
        <w:jc w:val="center"/>
        <w:rPr>
          <w:rFonts w:ascii="Source Sans Pro" w:hAnsi="Source Sans Pro" w:cs="Arial"/>
          <w:b/>
          <w:color w:val="6F7271"/>
        </w:rPr>
      </w:pPr>
    </w:p>
    <w:p w:rsidR="00A83AF1" w:rsidRPr="00A83AF1" w:rsidRDefault="00A83AF1" w:rsidP="00A83AF1">
      <w:pPr>
        <w:tabs>
          <w:tab w:val="left" w:pos="3128"/>
        </w:tabs>
        <w:jc w:val="center"/>
        <w:rPr>
          <w:rFonts w:ascii="Source Sans Pro" w:hAnsi="Source Sans Pro" w:cs="Arial"/>
          <w:b/>
          <w:color w:val="6F7271"/>
        </w:rPr>
      </w:pPr>
    </w:p>
    <w:p w:rsidR="00A83AF1" w:rsidRPr="00A83AF1" w:rsidRDefault="00A83AF1" w:rsidP="00A83AF1">
      <w:pPr>
        <w:tabs>
          <w:tab w:val="left" w:pos="3128"/>
        </w:tabs>
        <w:jc w:val="center"/>
        <w:rPr>
          <w:rFonts w:ascii="Source Sans Pro" w:hAnsi="Source Sans Pro" w:cs="Arial"/>
          <w:b/>
          <w:color w:val="6F7271"/>
        </w:rPr>
      </w:pPr>
    </w:p>
    <w:p w:rsidR="00A83AF1" w:rsidRPr="00A83AF1" w:rsidRDefault="00A83AF1" w:rsidP="00A83AF1">
      <w:pPr>
        <w:rPr>
          <w:rFonts w:ascii="Source Sans Pro" w:hAnsi="Source Sans Pro" w:cs="Arial"/>
          <w:b/>
          <w:color w:val="6F7271"/>
        </w:rPr>
      </w:pPr>
      <w:r w:rsidRPr="00A83AF1">
        <w:rPr>
          <w:rFonts w:ascii="Source Sans Pro" w:hAnsi="Source Sans Pro" w:cs="Arial"/>
          <w:b/>
          <w:color w:val="6F7271"/>
        </w:rPr>
        <w:br w:type="page"/>
      </w:r>
    </w:p>
    <w:p w:rsidR="00A83AF1" w:rsidRPr="00A83AF1" w:rsidRDefault="00A83AF1" w:rsidP="00A83AF1">
      <w:pPr>
        <w:tabs>
          <w:tab w:val="left" w:pos="3128"/>
        </w:tabs>
        <w:jc w:val="center"/>
        <w:rPr>
          <w:rFonts w:ascii="Source Sans Pro" w:hAnsi="Source Sans Pro" w:cs="Arial"/>
          <w:b/>
          <w:color w:val="6F7271"/>
          <w:sz w:val="20"/>
          <w:szCs w:val="20"/>
        </w:rPr>
      </w:pPr>
    </w:p>
    <w:p w:rsidR="00A83AF1" w:rsidRPr="00A83AF1" w:rsidRDefault="00A83AF1" w:rsidP="00A83AF1">
      <w:pPr>
        <w:tabs>
          <w:tab w:val="left" w:pos="3128"/>
        </w:tabs>
        <w:jc w:val="center"/>
        <w:rPr>
          <w:rFonts w:ascii="Source Sans Pro" w:hAnsi="Source Sans Pro" w:cs="Arial"/>
          <w:b/>
          <w:color w:val="6F7271"/>
          <w:sz w:val="20"/>
          <w:szCs w:val="20"/>
        </w:rPr>
      </w:pPr>
      <w:r w:rsidRPr="00A83AF1">
        <w:rPr>
          <w:rFonts w:ascii="Source Sans Pro" w:hAnsi="Source Sans Pro" w:cs="Arial"/>
          <w:b/>
          <w:color w:val="6F7271"/>
          <w:sz w:val="20"/>
          <w:szCs w:val="20"/>
        </w:rPr>
        <w:t>ANEXO 3</w:t>
      </w:r>
    </w:p>
    <w:p w:rsidR="00A83AF1" w:rsidRPr="00A83AF1" w:rsidRDefault="00A83AF1" w:rsidP="00A83AF1">
      <w:pPr>
        <w:tabs>
          <w:tab w:val="left" w:pos="3128"/>
        </w:tabs>
        <w:jc w:val="center"/>
        <w:rPr>
          <w:rFonts w:ascii="Source Sans Pro" w:hAnsi="Source Sans Pro" w:cs="Arial"/>
          <w:b/>
          <w:color w:val="6F7271"/>
          <w:sz w:val="20"/>
          <w:szCs w:val="20"/>
        </w:rPr>
      </w:pPr>
      <w:r w:rsidRPr="00A83AF1">
        <w:rPr>
          <w:rFonts w:ascii="Source Sans Pro" w:hAnsi="Source Sans Pro" w:cs="Arial"/>
          <w:b/>
          <w:color w:val="6F7271"/>
          <w:sz w:val="20"/>
          <w:szCs w:val="20"/>
        </w:rPr>
        <w:t>Estimación Del Factor De Actualización</w:t>
      </w:r>
    </w:p>
    <w:p w:rsidR="00A83AF1" w:rsidRPr="00A83AF1" w:rsidRDefault="00A83AF1" w:rsidP="00A83AF1">
      <w:pPr>
        <w:tabs>
          <w:tab w:val="left" w:pos="3128"/>
        </w:tabs>
        <w:jc w:val="both"/>
        <w:rPr>
          <w:rFonts w:ascii="Source Sans Pro" w:hAnsi="Source Sans Pro" w:cs="Arial"/>
          <w:color w:val="6F7271"/>
          <w:sz w:val="20"/>
          <w:szCs w:val="20"/>
        </w:rPr>
      </w:pPr>
      <w:r w:rsidRPr="00A83AF1">
        <w:rPr>
          <w:rFonts w:ascii="Source Sans Pro" w:hAnsi="Source Sans Pro" w:cs="Arial"/>
          <w:color w:val="6F7271"/>
          <w:sz w:val="20"/>
          <w:szCs w:val="20"/>
        </w:rPr>
        <w:t>El factor de actualización se estima conforme al artículo 18 del Código Fiscal de la Ciudad de México.</w:t>
      </w:r>
    </w:p>
    <w:p w:rsidR="00A83AF1" w:rsidRPr="00A83AF1" w:rsidRDefault="00A83AF1" w:rsidP="00A83AF1">
      <w:pPr>
        <w:tabs>
          <w:tab w:val="left" w:pos="3128"/>
        </w:tabs>
        <w:jc w:val="both"/>
        <w:rPr>
          <w:rFonts w:ascii="Source Sans Pro" w:hAnsi="Source Sans Pro" w:cs="Arial"/>
          <w:color w:val="6F7271"/>
          <w:sz w:val="20"/>
          <w:szCs w:val="20"/>
        </w:rPr>
      </w:pPr>
    </w:p>
    <w:p w:rsidR="00A83AF1" w:rsidRPr="00A83AF1" w:rsidRDefault="00A83AF1" w:rsidP="00A83AF1">
      <w:pPr>
        <w:pStyle w:val="Prrafodelista"/>
        <w:numPr>
          <w:ilvl w:val="0"/>
          <w:numId w:val="24"/>
        </w:numPr>
        <w:tabs>
          <w:tab w:val="left" w:pos="3128"/>
        </w:tabs>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Se calcula el índice promedio de los doce meses más recientes y el índice promedio de los doce meses anteriores. </w:t>
      </w:r>
    </w:p>
    <w:p w:rsidR="00A83AF1" w:rsidRPr="00A83AF1" w:rsidRDefault="00A83AF1" w:rsidP="00A83AF1">
      <w:pPr>
        <w:pStyle w:val="Prrafodelista"/>
        <w:tabs>
          <w:tab w:val="left" w:pos="3128"/>
        </w:tabs>
        <w:jc w:val="both"/>
        <w:rPr>
          <w:rFonts w:ascii="Source Sans Pro" w:hAnsi="Source Sans Pro" w:cs="Arial"/>
          <w:color w:val="6F7271"/>
          <w:sz w:val="20"/>
          <w:szCs w:val="20"/>
        </w:rPr>
      </w:pPr>
    </w:p>
    <w:p w:rsidR="00A83AF1" w:rsidRPr="00A83AF1" w:rsidRDefault="00A83AF1" w:rsidP="00A83AF1">
      <w:pPr>
        <w:tabs>
          <w:tab w:val="left" w:pos="3128"/>
        </w:tabs>
        <w:jc w:val="center"/>
        <w:rPr>
          <w:rFonts w:ascii="Source Sans Pro" w:hAnsi="Source Sans Pro" w:cs="Arial"/>
          <w:color w:val="6F7271"/>
          <w:sz w:val="20"/>
          <w:szCs w:val="20"/>
        </w:rPr>
      </w:pPr>
      <w:r w:rsidRPr="00A83AF1">
        <w:rPr>
          <w:rFonts w:ascii="Source Sans Pro" w:hAnsi="Source Sans Pro" w:cs="Arial"/>
          <w:noProof/>
          <w:color w:val="6F7271"/>
          <w:sz w:val="20"/>
          <w:szCs w:val="20"/>
          <w:lang w:val="es-MX" w:eastAsia="es-MX"/>
        </w:rPr>
        <w:drawing>
          <wp:inline distT="0" distB="0" distL="0" distR="0" wp14:anchorId="750544BA" wp14:editId="662A9A70">
            <wp:extent cx="3523619" cy="365760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3619" cy="36576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A83AF1" w:rsidRPr="00A83AF1" w:rsidRDefault="00A83AF1" w:rsidP="00A83AF1">
      <w:pPr>
        <w:tabs>
          <w:tab w:val="left" w:pos="3128"/>
        </w:tabs>
        <w:jc w:val="center"/>
        <w:rPr>
          <w:rFonts w:ascii="Source Sans Pro" w:hAnsi="Source Sans Pro" w:cs="Arial"/>
          <w:color w:val="6F7271"/>
          <w:sz w:val="20"/>
          <w:szCs w:val="20"/>
        </w:rPr>
      </w:pPr>
    </w:p>
    <w:p w:rsidR="00A83AF1" w:rsidRPr="00A83AF1" w:rsidRDefault="00A83AF1" w:rsidP="00A83AF1">
      <w:pPr>
        <w:tabs>
          <w:tab w:val="left" w:pos="3128"/>
        </w:tabs>
        <w:rPr>
          <w:rFonts w:ascii="Source Sans Pro" w:hAnsi="Source Sans Pro" w:cs="Arial"/>
          <w:b/>
          <w:color w:val="6F7271"/>
          <w:sz w:val="20"/>
          <w:szCs w:val="20"/>
        </w:rPr>
      </w:pPr>
    </w:p>
    <w:p w:rsidR="00A83AF1" w:rsidRPr="00A83AF1" w:rsidRDefault="00A83AF1" w:rsidP="00A83AF1">
      <w:pPr>
        <w:pStyle w:val="Prrafodelista"/>
        <w:numPr>
          <w:ilvl w:val="0"/>
          <w:numId w:val="24"/>
        </w:numPr>
        <w:tabs>
          <w:tab w:val="left" w:pos="3128"/>
        </w:tabs>
        <w:jc w:val="both"/>
        <w:rPr>
          <w:rFonts w:ascii="Source Sans Pro" w:hAnsi="Source Sans Pro" w:cs="Arial"/>
          <w:color w:val="6F7271"/>
          <w:sz w:val="20"/>
          <w:szCs w:val="20"/>
        </w:rPr>
      </w:pPr>
      <w:r w:rsidRPr="00A83AF1">
        <w:rPr>
          <w:rFonts w:ascii="Source Sans Pro" w:hAnsi="Source Sans Pro" w:cs="Arial"/>
          <w:color w:val="6F7271"/>
          <w:sz w:val="20"/>
          <w:szCs w:val="20"/>
        </w:rPr>
        <w:t xml:space="preserve">Se divide el índice promedio de los doce meses más recientes entre el índice promedio de los doce meses anteriores, obteniendo así el factor de actualización. </w:t>
      </w:r>
    </w:p>
    <w:p w:rsidR="00A83AF1" w:rsidRPr="00A83AF1" w:rsidRDefault="00A83AF1" w:rsidP="00A83AF1">
      <w:pPr>
        <w:pStyle w:val="Prrafodelista"/>
        <w:tabs>
          <w:tab w:val="left" w:pos="3128"/>
        </w:tabs>
        <w:jc w:val="both"/>
        <w:rPr>
          <w:rFonts w:ascii="Source Sans Pro" w:hAnsi="Source Sans Pro" w:cs="Arial"/>
          <w:color w:val="6F7271"/>
          <w:sz w:val="20"/>
          <w:szCs w:val="20"/>
        </w:rPr>
      </w:pPr>
    </w:p>
    <w:p w:rsidR="00A83AF1" w:rsidRPr="00A83AF1" w:rsidRDefault="00A83AF1" w:rsidP="00A83AF1">
      <w:pPr>
        <w:tabs>
          <w:tab w:val="left" w:pos="3128"/>
        </w:tabs>
        <w:jc w:val="center"/>
        <w:rPr>
          <w:rFonts w:ascii="Source Sans Pro" w:hAnsi="Source Sans Pro" w:cs="Arial"/>
          <w:color w:val="6F7271"/>
          <w:sz w:val="20"/>
          <w:szCs w:val="20"/>
        </w:rPr>
      </w:pPr>
      <w:r w:rsidRPr="00A83AF1">
        <w:rPr>
          <w:rFonts w:ascii="Source Sans Pro" w:hAnsi="Source Sans Pro" w:cs="Arial"/>
          <w:noProof/>
          <w:color w:val="6F7271"/>
          <w:sz w:val="20"/>
          <w:szCs w:val="20"/>
          <w:lang w:val="es-MX" w:eastAsia="es-MX"/>
        </w:rPr>
        <w:drawing>
          <wp:inline distT="0" distB="0" distL="0" distR="0" wp14:anchorId="0B73B918" wp14:editId="7190919A">
            <wp:extent cx="4857115" cy="926465"/>
            <wp:effectExtent l="0" t="0" r="635" b="6985"/>
            <wp:docPr id="1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115" cy="926465"/>
                    </a:xfrm>
                    <a:prstGeom prst="rect">
                      <a:avLst/>
                    </a:prstGeom>
                    <a:noFill/>
                    <a:ln>
                      <a:noFill/>
                    </a:ln>
                  </pic:spPr>
                </pic:pic>
              </a:graphicData>
            </a:graphic>
          </wp:inline>
        </w:drawing>
      </w:r>
    </w:p>
    <w:p w:rsidR="00A83AF1" w:rsidRPr="00A83AF1" w:rsidRDefault="00A83AF1" w:rsidP="00A83AF1">
      <w:pPr>
        <w:rPr>
          <w:rFonts w:ascii="Source Sans Pro" w:hAnsi="Source Sans Pro" w:cs="Arial"/>
          <w:color w:val="6F7271"/>
          <w:sz w:val="20"/>
          <w:szCs w:val="20"/>
        </w:rPr>
      </w:pPr>
    </w:p>
    <w:p w:rsidR="00A83AF1" w:rsidRPr="00A83AF1" w:rsidRDefault="00A83AF1" w:rsidP="00A83AF1">
      <w:pPr>
        <w:rPr>
          <w:rStyle w:val="Ninguno"/>
          <w:rFonts w:ascii="Source Sans Pro" w:eastAsia="Arial" w:hAnsi="Source Sans Pro" w:cs="Arial"/>
          <w:color w:val="6F7271"/>
          <w:sz w:val="20"/>
          <w:szCs w:val="20"/>
          <w:u w:color="000000"/>
          <w:lang w:val="es-MX" w:eastAsia="es-MX"/>
        </w:rPr>
      </w:pPr>
      <w:r w:rsidRPr="00A83AF1">
        <w:rPr>
          <w:rStyle w:val="Ninguno"/>
          <w:rFonts w:ascii="Source Sans Pro" w:eastAsia="Arial" w:hAnsi="Source Sans Pro" w:cs="Arial"/>
          <w:color w:val="6F7271"/>
          <w:sz w:val="20"/>
          <w:szCs w:val="20"/>
          <w:lang w:val="es-MX"/>
        </w:rPr>
        <w:br w:type="page"/>
      </w:r>
    </w:p>
    <w:p w:rsidR="00A83AF1" w:rsidRPr="00A83AF1" w:rsidRDefault="00A83AF1" w:rsidP="00A83AF1">
      <w:pPr>
        <w:tabs>
          <w:tab w:val="left" w:pos="2896"/>
        </w:tabs>
        <w:contextualSpacing/>
        <w:jc w:val="both"/>
        <w:rPr>
          <w:rFonts w:ascii="Source Sans Pro" w:hAnsi="Source Sans Pro" w:cs="Arial"/>
          <w:color w:val="6F7271"/>
          <w:sz w:val="20"/>
          <w:szCs w:val="20"/>
        </w:rPr>
      </w:pPr>
      <w:r w:rsidRPr="00A83AF1">
        <w:rPr>
          <w:rFonts w:ascii="Source Sans Pro" w:hAnsi="Source Sans Pro" w:cs="Arial"/>
          <w:color w:val="6F7271"/>
          <w:sz w:val="20"/>
          <w:szCs w:val="20"/>
        </w:rPr>
        <w:lastRenderedPageBreak/>
        <w:t xml:space="preserve">Palacio Legislativo del Congreso de la Ciudad de México, a los veintiocho días del mes de diciembre del año dos mil dieciocho. - </w:t>
      </w:r>
      <w:r w:rsidRPr="00A83AF1">
        <w:rPr>
          <w:rFonts w:ascii="Source Sans Pro" w:hAnsi="Source Sans Pro" w:cs="Arial"/>
          <w:b/>
          <w:color w:val="6F7271"/>
          <w:sz w:val="20"/>
          <w:szCs w:val="20"/>
        </w:rPr>
        <w:t xml:space="preserve">POR LA MESA DIRECTIVA, DIPUTADO JOSÉ DE JESÚS MARTÍN DEL CAMPO CASTAÑEDA, </w:t>
      </w:r>
      <w:proofErr w:type="gramStart"/>
      <w:r w:rsidRPr="00A83AF1">
        <w:rPr>
          <w:rFonts w:ascii="Source Sans Pro" w:hAnsi="Source Sans Pro" w:cs="Arial"/>
          <w:b/>
          <w:color w:val="6F7271"/>
          <w:sz w:val="20"/>
          <w:szCs w:val="20"/>
        </w:rPr>
        <w:t>PRESIDENTE.-</w:t>
      </w:r>
      <w:proofErr w:type="gramEnd"/>
      <w:r w:rsidRPr="00A83AF1">
        <w:rPr>
          <w:rFonts w:ascii="Source Sans Pro" w:hAnsi="Source Sans Pro" w:cs="Arial"/>
          <w:b/>
          <w:color w:val="6F7271"/>
          <w:sz w:val="20"/>
          <w:szCs w:val="20"/>
        </w:rPr>
        <w:t xml:space="preserve"> DIPUTADA ISABELA ROSALES HERRERA, SECRETARIA.- DIPUTADA ANA PATRICIA BAEZ GUERRERO, SECRETARIA</w:t>
      </w:r>
      <w:r w:rsidRPr="00A83AF1">
        <w:rPr>
          <w:rFonts w:ascii="Source Sans Pro" w:hAnsi="Source Sans Pro" w:cs="Arial"/>
          <w:color w:val="6F7271"/>
          <w:sz w:val="20"/>
          <w:szCs w:val="20"/>
        </w:rPr>
        <w:t>.- (Firmas)</w:t>
      </w:r>
    </w:p>
    <w:p w:rsidR="00A83AF1" w:rsidRPr="00A83AF1" w:rsidRDefault="00A83AF1" w:rsidP="00A83AF1">
      <w:pPr>
        <w:tabs>
          <w:tab w:val="left" w:pos="2896"/>
        </w:tabs>
        <w:contextualSpacing/>
        <w:jc w:val="both"/>
        <w:rPr>
          <w:rFonts w:ascii="Source Sans Pro" w:hAnsi="Source Sans Pro" w:cs="Arial"/>
          <w:color w:val="6F7271"/>
          <w:sz w:val="20"/>
          <w:szCs w:val="20"/>
        </w:rPr>
      </w:pPr>
    </w:p>
    <w:p w:rsidR="00A83AF1" w:rsidRPr="00A83AF1" w:rsidRDefault="00A83AF1" w:rsidP="00A83AF1">
      <w:pPr>
        <w:tabs>
          <w:tab w:val="left" w:pos="2896"/>
        </w:tabs>
        <w:contextualSpacing/>
        <w:jc w:val="both"/>
        <w:rPr>
          <w:rFonts w:ascii="Source Sans Pro" w:hAnsi="Source Sans Pro" w:cs="Arial"/>
          <w:color w:val="6F7271"/>
          <w:sz w:val="20"/>
          <w:szCs w:val="20"/>
        </w:rPr>
      </w:pPr>
      <w:r w:rsidRPr="00A83AF1">
        <w:rPr>
          <w:rFonts w:ascii="Source Sans Pro" w:hAnsi="Source Sans Pro" w:cs="Arial"/>
          <w:bCs/>
          <w:color w:val="6F7271"/>
          <w:sz w:val="20"/>
          <w:szCs w:val="20"/>
        </w:rPr>
        <w:t>Con fundamento en lo dispuesto por los artículos 122, Apartado A, fracción</w:t>
      </w:r>
      <w:r w:rsidRPr="00A83AF1">
        <w:rPr>
          <w:rFonts w:ascii="Source Sans Pro" w:hAnsi="Source Sans Pro" w:cs="Arial"/>
          <w:color w:val="6F7271"/>
          <w:sz w:val="20"/>
          <w:szCs w:val="20"/>
        </w:rPr>
        <w:t xml:space="preserve"> III, de la Constitución Política de los Estados Unidos Mexicanos;</w:t>
      </w:r>
      <w:r w:rsidRPr="00A83AF1">
        <w:rPr>
          <w:rFonts w:ascii="Source Sans Pro" w:eastAsia="Arial" w:hAnsi="Source Sans Pro" w:cs="Arial"/>
          <w:color w:val="6F7271"/>
          <w:sz w:val="20"/>
          <w:szCs w:val="20"/>
        </w:rPr>
        <w:t xml:space="preserve"> 32 apartado C, numeral 1, inciso a) de la Constitución Política de la Ciudad de México; 2° fracciones XVII y XVIII, 6°, 9° fracción I, 18 y 20 párrafo primero de la Ley Orgánica del Poder Ejecutivo y de la Administración Pública de la Ciudad de México</w:t>
      </w:r>
      <w:r w:rsidRPr="00A83AF1">
        <w:rPr>
          <w:rFonts w:ascii="Source Sans Pro" w:hAnsi="Source Sans Pro" w:cs="Arial"/>
          <w:color w:val="6F7271"/>
          <w:sz w:val="20"/>
          <w:szCs w:val="20"/>
        </w:rPr>
        <w:t>;</w:t>
      </w:r>
      <w:r w:rsidRPr="00A83AF1">
        <w:rPr>
          <w:rFonts w:ascii="Source Sans Pro" w:hAnsi="Source Sans Pro" w:cs="Arial"/>
          <w:bCs/>
          <w:color w:val="6F7271"/>
          <w:sz w:val="20"/>
          <w:szCs w:val="20"/>
        </w:rPr>
        <w:t xml:space="preserve"> para su debida publicación y observancia, expido el presente Decreto Promulgatorio en la Residencia Oficial de la Jefatura de Gobierno de la Ciudad de México, a los veintiocho días del mes de diciembre del año dos mil dieciocho.- </w:t>
      </w:r>
      <w:r w:rsidRPr="00A83AF1">
        <w:rPr>
          <w:rFonts w:ascii="Source Sans Pro" w:hAnsi="Source Sans Pro" w:cs="Arial"/>
          <w:b/>
          <w:bCs/>
          <w:color w:val="6F7271"/>
          <w:sz w:val="20"/>
          <w:szCs w:val="20"/>
        </w:rPr>
        <w:t>LA JEFA DE GOBIERNO DE LA CIUDAD DE MÉXICO, DRA. CLAUDIA SHEINBAUM PARDO.- FIRMA.-</w:t>
      </w:r>
      <w:r w:rsidRPr="00A83AF1">
        <w:rPr>
          <w:rFonts w:ascii="Source Sans Pro" w:hAnsi="Source Sans Pro" w:cs="Arial"/>
          <w:b/>
          <w:color w:val="6F7271"/>
          <w:sz w:val="20"/>
          <w:szCs w:val="20"/>
        </w:rPr>
        <w:t xml:space="preserve">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sectPr w:rsidR="00A83AF1" w:rsidRPr="00A83AF1" w:rsidSect="008A041A">
      <w:headerReference w:type="default" r:id="rId17"/>
      <w:footerReference w:type="default" r:id="rId1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D0" w:rsidRDefault="00C918D0">
      <w:r>
        <w:separator/>
      </w:r>
    </w:p>
  </w:endnote>
  <w:endnote w:type="continuationSeparator" w:id="0">
    <w:p w:rsidR="00C918D0" w:rsidRDefault="00C9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C918D0"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D0" w:rsidRDefault="00C918D0">
      <w:r>
        <w:separator/>
      </w:r>
    </w:p>
  </w:footnote>
  <w:footnote w:type="continuationSeparator" w:id="0">
    <w:p w:rsidR="00C918D0" w:rsidRDefault="00C91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-41275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0814E7" w:rsidRPr="00A83AF1" w:rsidRDefault="000814E7" w:rsidP="00A83AF1">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A83AF1">
      <w:rPr>
        <w:rFonts w:ascii="Arial" w:hAnsi="Arial" w:cs="Arial"/>
        <w:b/>
        <w:bCs/>
        <w:smallCaps/>
        <w:sz w:val="20"/>
        <w:szCs w:val="20"/>
      </w:rPr>
      <w:t xml:space="preserve">             </w:t>
    </w:r>
    <w:r w:rsidR="005E049F" w:rsidRPr="00A83AF1">
      <w:rPr>
        <w:rFonts w:ascii="Source Sans Pro SemiBold" w:hAnsi="Source Sans Pro SemiBold" w:cs="Arial"/>
        <w:b/>
        <w:bCs/>
        <w:smallCaps/>
        <w:color w:val="BC955C"/>
        <w:sz w:val="20"/>
        <w:szCs w:val="20"/>
      </w:rPr>
      <w:t>Ley de</w:t>
    </w:r>
    <w:r w:rsidR="00A83AF1" w:rsidRPr="00A83AF1">
      <w:rPr>
        <w:rFonts w:ascii="Source Sans Pro SemiBold" w:hAnsi="Source Sans Pro SemiBold" w:cs="Arial"/>
        <w:b/>
        <w:bCs/>
        <w:smallCaps/>
        <w:color w:val="BC955C"/>
        <w:sz w:val="20"/>
        <w:szCs w:val="20"/>
      </w:rPr>
      <w:t xml:space="preserve"> Ingresos de la Ciudad de México para el Ejercicio Fiscal 2019</w:t>
    </w:r>
  </w:p>
  <w:p w:rsidR="000814E7" w:rsidRPr="00E068E0" w:rsidRDefault="000814E7"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90049A"/>
    <w:multiLevelType w:val="hybridMultilevel"/>
    <w:tmpl w:val="E9C0F7DE"/>
    <w:lvl w:ilvl="0" w:tplc="B18CCF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82CC5"/>
    <w:multiLevelType w:val="hybridMultilevel"/>
    <w:tmpl w:val="550E56EC"/>
    <w:lvl w:ilvl="0" w:tplc="1AD822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1736D"/>
    <w:multiLevelType w:val="hybridMultilevel"/>
    <w:tmpl w:val="C530437E"/>
    <w:lvl w:ilvl="0" w:tplc="EA62593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1F2A3E97"/>
    <w:multiLevelType w:val="hybridMultilevel"/>
    <w:tmpl w:val="F188AC76"/>
    <w:lvl w:ilvl="0" w:tplc="A296FD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F8418B"/>
    <w:multiLevelType w:val="hybridMultilevel"/>
    <w:tmpl w:val="01BE4B04"/>
    <w:lvl w:ilvl="0" w:tplc="8FBC9B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1E2182"/>
    <w:multiLevelType w:val="hybridMultilevel"/>
    <w:tmpl w:val="56821756"/>
    <w:lvl w:ilvl="0" w:tplc="940862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9131DD"/>
    <w:multiLevelType w:val="hybridMultilevel"/>
    <w:tmpl w:val="3056BA0C"/>
    <w:lvl w:ilvl="0" w:tplc="B22269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F1C55"/>
    <w:multiLevelType w:val="hybridMultilevel"/>
    <w:tmpl w:val="1DC2055E"/>
    <w:lvl w:ilvl="0" w:tplc="265636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F1527C"/>
    <w:multiLevelType w:val="hybridMultilevel"/>
    <w:tmpl w:val="778A7F94"/>
    <w:lvl w:ilvl="0" w:tplc="C254A0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6503688"/>
    <w:multiLevelType w:val="hybridMultilevel"/>
    <w:tmpl w:val="280CC29E"/>
    <w:lvl w:ilvl="0" w:tplc="8DB00866">
      <w:start w:val="8"/>
      <w:numFmt w:val="upperRoman"/>
      <w:lvlText w:val="%1."/>
      <w:lvlJc w:val="left"/>
      <w:pPr>
        <w:ind w:left="1080" w:hanging="720"/>
      </w:pPr>
      <w:rPr>
        <w:rFonts w:hint="default"/>
        <w:b/>
      </w:rPr>
    </w:lvl>
    <w:lvl w:ilvl="1" w:tplc="BEBCE2D6">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620EF6"/>
    <w:multiLevelType w:val="hybridMultilevel"/>
    <w:tmpl w:val="3B5E065E"/>
    <w:lvl w:ilvl="0" w:tplc="A3D6F0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160624"/>
    <w:multiLevelType w:val="hybridMultilevel"/>
    <w:tmpl w:val="61E8948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15:restartNumberingAfterBreak="0">
    <w:nsid w:val="5A1D5831"/>
    <w:multiLevelType w:val="hybridMultilevel"/>
    <w:tmpl w:val="4EFC9306"/>
    <w:lvl w:ilvl="0" w:tplc="DBC2388A">
      <w:start w:val="1"/>
      <w:numFmt w:val="upperRoman"/>
      <w:lvlText w:val="%1."/>
      <w:lvlJc w:val="left"/>
      <w:pPr>
        <w:ind w:left="2776" w:hanging="720"/>
      </w:pPr>
      <w:rPr>
        <w:rFonts w:hint="default"/>
        <w:b/>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19"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C832B6"/>
    <w:multiLevelType w:val="hybridMultilevel"/>
    <w:tmpl w:val="86CA9AE0"/>
    <w:lvl w:ilvl="0" w:tplc="107493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9F6679"/>
    <w:multiLevelType w:val="hybridMultilevel"/>
    <w:tmpl w:val="8208DCB4"/>
    <w:lvl w:ilvl="0" w:tplc="9E2453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D04D53"/>
    <w:multiLevelType w:val="hybridMultilevel"/>
    <w:tmpl w:val="63EA87B2"/>
    <w:lvl w:ilvl="0" w:tplc="47005D9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5F10A0"/>
    <w:multiLevelType w:val="hybridMultilevel"/>
    <w:tmpl w:val="89CE07DC"/>
    <w:lvl w:ilvl="0" w:tplc="EC8C5A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2"/>
  </w:num>
  <w:num w:numId="5">
    <w:abstractNumId w:val="14"/>
  </w:num>
  <w:num w:numId="6">
    <w:abstractNumId w:val="19"/>
  </w:num>
  <w:num w:numId="7">
    <w:abstractNumId w:val="6"/>
  </w:num>
  <w:num w:numId="8">
    <w:abstractNumId w:val="18"/>
  </w:num>
  <w:num w:numId="9">
    <w:abstractNumId w:val="22"/>
  </w:num>
  <w:num w:numId="10">
    <w:abstractNumId w:val="16"/>
  </w:num>
  <w:num w:numId="11">
    <w:abstractNumId w:val="20"/>
  </w:num>
  <w:num w:numId="12">
    <w:abstractNumId w:val="8"/>
  </w:num>
  <w:num w:numId="13">
    <w:abstractNumId w:val="21"/>
  </w:num>
  <w:num w:numId="14">
    <w:abstractNumId w:val="15"/>
  </w:num>
  <w:num w:numId="15">
    <w:abstractNumId w:val="5"/>
  </w:num>
  <w:num w:numId="16">
    <w:abstractNumId w:val="2"/>
  </w:num>
  <w:num w:numId="17">
    <w:abstractNumId w:val="23"/>
  </w:num>
  <w:num w:numId="18">
    <w:abstractNumId w:val="13"/>
  </w:num>
  <w:num w:numId="19">
    <w:abstractNumId w:val="11"/>
  </w:num>
  <w:num w:numId="20">
    <w:abstractNumId w:val="9"/>
  </w:num>
  <w:num w:numId="21">
    <w:abstractNumId w:val="10"/>
  </w:num>
  <w:num w:numId="22">
    <w:abstractNumId w:val="1"/>
  </w:num>
  <w:num w:numId="23">
    <w:abstractNumId w:val="4"/>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5E049F"/>
    <w:rsid w:val="0060081C"/>
    <w:rsid w:val="006050E5"/>
    <w:rsid w:val="006138A4"/>
    <w:rsid w:val="00630FCC"/>
    <w:rsid w:val="00667987"/>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83AF1"/>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18D0"/>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451A6"/>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E992A"/>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customStyle="1" w:styleId="paragraph">
    <w:name w:val="paragraph"/>
    <w:basedOn w:val="Normal"/>
    <w:uiPriority w:val="99"/>
    <w:rsid w:val="005E049F"/>
    <w:pPr>
      <w:spacing w:before="100" w:beforeAutospacing="1" w:after="100" w:afterAutospacing="1"/>
    </w:pPr>
    <w:rPr>
      <w:lang w:val="es-MX" w:eastAsia="es-MX"/>
    </w:rPr>
  </w:style>
  <w:style w:type="character" w:customStyle="1" w:styleId="normaltextrun">
    <w:name w:val="normaltextrun"/>
    <w:rsid w:val="005E049F"/>
  </w:style>
  <w:style w:type="character" w:customStyle="1" w:styleId="eop">
    <w:name w:val="eop"/>
    <w:rsid w:val="005E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2515</Words>
  <Characters>13836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2</cp:revision>
  <cp:lastPrinted>2021-09-01T01:51:00Z</cp:lastPrinted>
  <dcterms:created xsi:type="dcterms:W3CDTF">2021-09-01T02:05:00Z</dcterms:created>
  <dcterms:modified xsi:type="dcterms:W3CDTF">2021-09-01T02:05:00Z</dcterms:modified>
</cp:coreProperties>
</file>